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8AD9" w14:textId="22429469" w:rsidR="008F5271" w:rsidRPr="00324DCD" w:rsidRDefault="008F5271" w:rsidP="008F5271">
      <w:pPr>
        <w:jc w:val="center"/>
        <w:rPr>
          <w:rFonts w:asciiTheme="majorHAnsi" w:hAnsiTheme="majorHAnsi"/>
          <w:sz w:val="24"/>
          <w:szCs w:val="24"/>
        </w:rPr>
      </w:pPr>
      <w:bookmarkStart w:id="0" w:name="_GoBack"/>
      <w:bookmarkEnd w:id="0"/>
    </w:p>
    <w:p w14:paraId="0AEF9042" w14:textId="77777777" w:rsidR="008F5271" w:rsidRPr="00324DCD" w:rsidRDefault="008F5271" w:rsidP="008F5271">
      <w:pPr>
        <w:jc w:val="center"/>
        <w:rPr>
          <w:rFonts w:asciiTheme="majorHAnsi" w:hAnsiTheme="majorHAnsi"/>
          <w:sz w:val="24"/>
          <w:szCs w:val="24"/>
        </w:rPr>
      </w:pPr>
    </w:p>
    <w:p w14:paraId="237DFD55" w14:textId="77777777" w:rsidR="008F5271" w:rsidRPr="00324DCD" w:rsidRDefault="008F5271" w:rsidP="008F5271">
      <w:pPr>
        <w:jc w:val="center"/>
        <w:rPr>
          <w:rFonts w:asciiTheme="majorHAnsi" w:hAnsiTheme="majorHAnsi"/>
          <w:sz w:val="24"/>
          <w:szCs w:val="24"/>
        </w:rPr>
      </w:pPr>
    </w:p>
    <w:p w14:paraId="336C790D" w14:textId="77777777" w:rsidR="008F5271" w:rsidRPr="00324DCD" w:rsidRDefault="008F5271" w:rsidP="00CB6EF4">
      <w:pPr>
        <w:ind w:left="0" w:firstLine="0"/>
        <w:jc w:val="center"/>
        <w:rPr>
          <w:rFonts w:asciiTheme="majorHAnsi" w:hAnsiTheme="majorHAnsi"/>
          <w:b/>
          <w:sz w:val="24"/>
          <w:szCs w:val="24"/>
        </w:rPr>
      </w:pPr>
      <w:r w:rsidRPr="00324DCD">
        <w:rPr>
          <w:rFonts w:asciiTheme="majorHAnsi" w:hAnsiTheme="majorHAnsi"/>
          <w:b/>
          <w:sz w:val="24"/>
          <w:szCs w:val="24"/>
        </w:rPr>
        <w:t>Contribution au Groupe intergouvernemental à composition non limitée sur un instrument juridiquement contraignant sur les sociétés transnationales et autres entreprises</w:t>
      </w:r>
      <w:r w:rsidR="00B33B15" w:rsidRPr="00324DCD">
        <w:rPr>
          <w:rFonts w:asciiTheme="majorHAnsi" w:hAnsiTheme="majorHAnsi"/>
          <w:b/>
          <w:sz w:val="24"/>
          <w:szCs w:val="24"/>
        </w:rPr>
        <w:t xml:space="preserve"> commerciales en matière de droits de l’homme</w:t>
      </w:r>
      <w:r w:rsidRPr="00324DCD">
        <w:rPr>
          <w:rFonts w:asciiTheme="majorHAnsi" w:hAnsiTheme="majorHAnsi"/>
          <w:b/>
          <w:sz w:val="24"/>
          <w:szCs w:val="24"/>
        </w:rPr>
        <w:t xml:space="preserve"> (OEIGWG)</w:t>
      </w:r>
    </w:p>
    <w:p w14:paraId="636CB306" w14:textId="77777777" w:rsidR="0089431A" w:rsidRPr="00324DCD" w:rsidRDefault="0089431A" w:rsidP="0089431A">
      <w:pPr>
        <w:pStyle w:val="textecourant"/>
        <w:ind w:left="360" w:firstLine="0"/>
        <w:rPr>
          <w:rFonts w:asciiTheme="majorHAnsi" w:eastAsia="Calibri" w:hAnsiTheme="majorHAnsi" w:cs="Arial"/>
          <w:b/>
          <w:szCs w:val="24"/>
          <w:lang w:eastAsia="en-US"/>
        </w:rPr>
      </w:pPr>
    </w:p>
    <w:p w14:paraId="5C1CDC12" w14:textId="77777777" w:rsidR="0089431A" w:rsidRPr="00324DCD" w:rsidRDefault="0089431A" w:rsidP="0089431A">
      <w:pPr>
        <w:pStyle w:val="textecourant"/>
        <w:ind w:firstLine="0"/>
        <w:rPr>
          <w:rFonts w:asciiTheme="majorHAnsi" w:eastAsia="Calibri" w:hAnsiTheme="majorHAnsi" w:cs="Arial"/>
          <w:szCs w:val="24"/>
          <w:lang w:eastAsia="en-US"/>
        </w:rPr>
      </w:pPr>
    </w:p>
    <w:p w14:paraId="5A339825" w14:textId="4F776E3A" w:rsidR="0089431A" w:rsidRPr="00324DCD" w:rsidRDefault="0089431A" w:rsidP="0089431A">
      <w:pPr>
        <w:ind w:left="0" w:firstLine="0"/>
        <w:rPr>
          <w:rFonts w:asciiTheme="majorHAnsi" w:eastAsia="Times New Roman" w:hAnsiTheme="majorHAnsi" w:cs="Arial"/>
          <w:color w:val="000000"/>
          <w:sz w:val="24"/>
          <w:szCs w:val="24"/>
        </w:rPr>
      </w:pPr>
      <w:r w:rsidRPr="00324DCD">
        <w:rPr>
          <w:rFonts w:asciiTheme="majorHAnsi" w:hAnsiTheme="majorHAnsi" w:cs="Arial"/>
          <w:sz w:val="24"/>
          <w:szCs w:val="24"/>
        </w:rPr>
        <w:t xml:space="preserve">L’engagement de la Commission nationale consultative des droits de l’homme (CNCDH) sur la thématique « </w:t>
      </w:r>
      <w:r w:rsidRPr="00324DCD">
        <w:rPr>
          <w:rFonts w:asciiTheme="majorHAnsi" w:hAnsiTheme="majorHAnsi" w:cs="Arial"/>
          <w:i/>
          <w:sz w:val="24"/>
          <w:szCs w:val="24"/>
        </w:rPr>
        <w:t>Entreprises et droits de l’homme</w:t>
      </w:r>
      <w:r w:rsidRPr="00324DCD">
        <w:rPr>
          <w:rFonts w:asciiTheme="majorHAnsi" w:hAnsiTheme="majorHAnsi" w:cs="Arial"/>
          <w:sz w:val="24"/>
          <w:szCs w:val="24"/>
        </w:rPr>
        <w:t xml:space="preserve"> » depuis deux décennies est particulièrement marquant : suivi des travaux de l’ancienne Sous-commission des droits de l’homme des Nations unies, rédaction d’une étude en 2008</w:t>
      </w:r>
      <w:r w:rsidR="008F544D">
        <w:rPr>
          <w:rFonts w:asciiTheme="majorHAnsi" w:hAnsiTheme="majorHAnsi" w:cs="Arial"/>
          <w:sz w:val="24"/>
          <w:szCs w:val="24"/>
        </w:rPr>
        <w:t xml:space="preserve"> et 2009</w:t>
      </w:r>
      <w:r w:rsidRPr="00324DCD">
        <w:rPr>
          <w:rStyle w:val="FootnoteReference"/>
          <w:rFonts w:asciiTheme="majorHAnsi" w:hAnsiTheme="majorHAnsi" w:cs="Arial"/>
          <w:sz w:val="24"/>
          <w:szCs w:val="24"/>
        </w:rPr>
        <w:footnoteReference w:id="1"/>
      </w:r>
      <w:r w:rsidRPr="00324DCD">
        <w:rPr>
          <w:rFonts w:asciiTheme="majorHAnsi" w:hAnsiTheme="majorHAnsi" w:cs="Arial"/>
          <w:sz w:val="24"/>
          <w:szCs w:val="24"/>
        </w:rPr>
        <w:t xml:space="preserve">, adoption en 2013 de l’avis sur l'application des </w:t>
      </w:r>
      <w:r w:rsidRPr="00324DCD">
        <w:rPr>
          <w:rFonts w:asciiTheme="majorHAnsi" w:hAnsiTheme="majorHAnsi" w:cs="Arial"/>
          <w:i/>
          <w:sz w:val="24"/>
          <w:szCs w:val="24"/>
        </w:rPr>
        <w:t>Principes directeurs des Nations unies relatifs aux entreprises et aux droits de l'homme</w:t>
      </w:r>
      <w:r w:rsidRPr="00324DCD">
        <w:rPr>
          <w:rStyle w:val="FootnoteReference"/>
          <w:rFonts w:asciiTheme="majorHAnsi" w:hAnsiTheme="majorHAnsi" w:cs="Arial"/>
          <w:sz w:val="24"/>
          <w:szCs w:val="24"/>
        </w:rPr>
        <w:footnoteReference w:id="2"/>
      </w:r>
      <w:r w:rsidRPr="00324DCD">
        <w:rPr>
          <w:rFonts w:asciiTheme="majorHAnsi" w:hAnsiTheme="majorHAnsi" w:cs="Arial"/>
          <w:sz w:val="24"/>
          <w:szCs w:val="24"/>
        </w:rPr>
        <w:t xml:space="preserve">, sur saisine du gouvernement, participation aux travaux de la Plateforme RSE sur la proposition de Plan national d’action « </w:t>
      </w:r>
      <w:r w:rsidRPr="00324DCD">
        <w:rPr>
          <w:rFonts w:asciiTheme="majorHAnsi" w:hAnsiTheme="majorHAnsi" w:cs="Arial"/>
          <w:i/>
          <w:sz w:val="24"/>
          <w:szCs w:val="24"/>
        </w:rPr>
        <w:t>Entreprises et droits de l’homme</w:t>
      </w:r>
      <w:r w:rsidRPr="00324DCD">
        <w:rPr>
          <w:rFonts w:asciiTheme="majorHAnsi" w:hAnsiTheme="majorHAnsi" w:cs="Arial"/>
          <w:sz w:val="24"/>
          <w:szCs w:val="24"/>
        </w:rPr>
        <w:t xml:space="preserve"> » (PNEDH)</w:t>
      </w:r>
      <w:r w:rsidRPr="00324DCD">
        <w:rPr>
          <w:rStyle w:val="FootnoteReference"/>
          <w:rFonts w:asciiTheme="majorHAnsi" w:hAnsiTheme="majorHAnsi" w:cs="Arial"/>
          <w:sz w:val="24"/>
          <w:szCs w:val="24"/>
        </w:rPr>
        <w:footnoteReference w:id="3"/>
      </w:r>
      <w:r w:rsidRPr="00324DCD">
        <w:rPr>
          <w:rFonts w:asciiTheme="majorHAnsi" w:hAnsiTheme="majorHAnsi" w:cs="Arial"/>
          <w:sz w:val="24"/>
          <w:szCs w:val="24"/>
        </w:rPr>
        <w:t xml:space="preserve">, nouveau mandat confié à la CNCDH pour évaluer la mise en œuvre du Plan national d’action pour la mise en œuvre des </w:t>
      </w:r>
      <w:r w:rsidRPr="00324DCD">
        <w:rPr>
          <w:rFonts w:asciiTheme="majorHAnsi" w:hAnsiTheme="majorHAnsi" w:cs="Arial"/>
          <w:i/>
          <w:sz w:val="24"/>
          <w:szCs w:val="24"/>
        </w:rPr>
        <w:t>Principes directeurs des Nations unies relatifs aux droits de l’homme et aux entreprises</w:t>
      </w:r>
      <w:r w:rsidRPr="00324DCD">
        <w:rPr>
          <w:rFonts w:asciiTheme="majorHAnsi" w:hAnsiTheme="majorHAnsi" w:cs="Arial"/>
          <w:sz w:val="24"/>
          <w:szCs w:val="24"/>
        </w:rPr>
        <w:t xml:space="preserve"> publié le 26 avril 2017. E</w:t>
      </w:r>
      <w:r w:rsidR="00E874F2">
        <w:rPr>
          <w:rFonts w:asciiTheme="majorHAnsi" w:hAnsiTheme="majorHAnsi" w:cs="Arial"/>
          <w:sz w:val="24"/>
          <w:szCs w:val="24"/>
        </w:rPr>
        <w:t>lle s’est également déjà exprimée sur le projet de traité contraignant et plus précisément quant à l’engagement de la France à son égard en octobre 2018 par le biais d’une  déclaration</w:t>
      </w:r>
      <w:r w:rsidRPr="00324DCD">
        <w:rPr>
          <w:rStyle w:val="FootnoteReference"/>
          <w:rFonts w:asciiTheme="majorHAnsi" w:eastAsia="Times New Roman" w:hAnsiTheme="majorHAnsi" w:cs="Arial"/>
          <w:color w:val="000000"/>
          <w:sz w:val="24"/>
          <w:szCs w:val="24"/>
        </w:rPr>
        <w:footnoteReference w:id="4"/>
      </w:r>
      <w:r w:rsidRPr="00324DCD">
        <w:rPr>
          <w:rFonts w:asciiTheme="majorHAnsi" w:eastAsia="Times New Roman" w:hAnsiTheme="majorHAnsi" w:cs="Arial"/>
          <w:color w:val="000000"/>
          <w:sz w:val="24"/>
          <w:szCs w:val="24"/>
        </w:rPr>
        <w:t>.</w:t>
      </w:r>
      <w:r w:rsidRPr="00324DCD">
        <w:rPr>
          <w:rFonts w:asciiTheme="majorHAnsi" w:hAnsiTheme="majorHAnsi" w:cs="Arial"/>
          <w:sz w:val="24"/>
          <w:szCs w:val="24"/>
        </w:rPr>
        <w:t xml:space="preserve">  </w:t>
      </w:r>
    </w:p>
    <w:p w14:paraId="0860BC14" w14:textId="77777777" w:rsidR="00641BE7" w:rsidRPr="00324DCD" w:rsidRDefault="00641BE7" w:rsidP="00641BE7">
      <w:pPr>
        <w:ind w:left="0" w:firstLine="0"/>
        <w:rPr>
          <w:rFonts w:asciiTheme="majorHAnsi" w:hAnsiTheme="majorHAnsi"/>
          <w:sz w:val="24"/>
          <w:szCs w:val="24"/>
        </w:rPr>
      </w:pPr>
      <w:r w:rsidRPr="00324DCD">
        <w:rPr>
          <w:rFonts w:asciiTheme="majorHAnsi" w:hAnsiTheme="majorHAnsi"/>
          <w:sz w:val="24"/>
          <w:szCs w:val="24"/>
        </w:rPr>
        <w:t xml:space="preserve">A l’heure où est rédigée cette contribution, la </w:t>
      </w:r>
      <w:r w:rsidR="00E874F2">
        <w:rPr>
          <w:rFonts w:asciiTheme="majorHAnsi" w:hAnsiTheme="majorHAnsi"/>
          <w:sz w:val="24"/>
          <w:szCs w:val="24"/>
        </w:rPr>
        <w:t xml:space="preserve">CNCDH </w:t>
      </w:r>
      <w:r w:rsidR="008A72BF" w:rsidRPr="00324DCD">
        <w:rPr>
          <w:rFonts w:asciiTheme="majorHAnsi" w:hAnsiTheme="majorHAnsi"/>
          <w:sz w:val="24"/>
          <w:szCs w:val="24"/>
        </w:rPr>
        <w:t xml:space="preserve">est </w:t>
      </w:r>
      <w:r w:rsidRPr="00324DCD">
        <w:rPr>
          <w:rFonts w:asciiTheme="majorHAnsi" w:hAnsiTheme="majorHAnsi"/>
          <w:sz w:val="24"/>
          <w:szCs w:val="24"/>
        </w:rPr>
        <w:t xml:space="preserve">en période </w:t>
      </w:r>
      <w:r w:rsidR="00695059" w:rsidRPr="00324DCD">
        <w:rPr>
          <w:rFonts w:asciiTheme="majorHAnsi" w:hAnsiTheme="majorHAnsi"/>
          <w:sz w:val="24"/>
          <w:szCs w:val="24"/>
        </w:rPr>
        <w:t>d’inter-mandature</w:t>
      </w:r>
      <w:r w:rsidR="007A02BF" w:rsidRPr="00324DCD">
        <w:rPr>
          <w:rFonts w:asciiTheme="majorHAnsi" w:hAnsiTheme="majorHAnsi"/>
          <w:sz w:val="24"/>
          <w:szCs w:val="24"/>
        </w:rPr>
        <w:t>, le mandat des membres étant arrivé à son terme le 23 novembre 2018</w:t>
      </w:r>
      <w:r w:rsidRPr="00324DCD">
        <w:rPr>
          <w:rFonts w:asciiTheme="majorHAnsi" w:hAnsiTheme="majorHAnsi"/>
          <w:sz w:val="24"/>
          <w:szCs w:val="24"/>
        </w:rPr>
        <w:t xml:space="preserve">. </w:t>
      </w:r>
      <w:r w:rsidR="007A02BF" w:rsidRPr="00324DCD">
        <w:rPr>
          <w:rFonts w:asciiTheme="majorHAnsi" w:hAnsiTheme="majorHAnsi"/>
          <w:sz w:val="24"/>
          <w:szCs w:val="24"/>
        </w:rPr>
        <w:t>L</w:t>
      </w:r>
      <w:r w:rsidRPr="00324DCD">
        <w:rPr>
          <w:rFonts w:asciiTheme="majorHAnsi" w:hAnsiTheme="majorHAnsi"/>
          <w:sz w:val="24"/>
          <w:szCs w:val="24"/>
        </w:rPr>
        <w:t xml:space="preserve">es développements </w:t>
      </w:r>
      <w:r w:rsidR="007E7BFD" w:rsidRPr="00324DCD">
        <w:rPr>
          <w:rFonts w:asciiTheme="majorHAnsi" w:hAnsiTheme="majorHAnsi"/>
          <w:sz w:val="24"/>
          <w:szCs w:val="24"/>
        </w:rPr>
        <w:t>et remarques qui suiven</w:t>
      </w:r>
      <w:r w:rsidRPr="00324DCD">
        <w:rPr>
          <w:rFonts w:asciiTheme="majorHAnsi" w:hAnsiTheme="majorHAnsi"/>
          <w:sz w:val="24"/>
          <w:szCs w:val="24"/>
        </w:rPr>
        <w:t>t</w:t>
      </w:r>
      <w:r w:rsidR="007A02BF" w:rsidRPr="00324DCD">
        <w:rPr>
          <w:rFonts w:asciiTheme="majorHAnsi" w:hAnsiTheme="majorHAnsi"/>
          <w:sz w:val="24"/>
          <w:szCs w:val="24"/>
        </w:rPr>
        <w:t xml:space="preserve"> sont toutefois issues d’un travail collectif et</w:t>
      </w:r>
      <w:r w:rsidRPr="00324DCD">
        <w:rPr>
          <w:rFonts w:asciiTheme="majorHAnsi" w:hAnsiTheme="majorHAnsi"/>
          <w:sz w:val="24"/>
          <w:szCs w:val="24"/>
        </w:rPr>
        <w:t xml:space="preserve"> font état des discussions et interrogations qui ont émergées dans le cadre d’un Groupe de travail « Ent</w:t>
      </w:r>
      <w:r w:rsidR="00D66E2E" w:rsidRPr="00324DCD">
        <w:rPr>
          <w:rFonts w:asciiTheme="majorHAnsi" w:hAnsiTheme="majorHAnsi"/>
          <w:sz w:val="24"/>
          <w:szCs w:val="24"/>
        </w:rPr>
        <w:t xml:space="preserve">reprises et droits de l’homme ». </w:t>
      </w:r>
      <w:r w:rsidR="007A02BF" w:rsidRPr="00324DCD">
        <w:rPr>
          <w:rFonts w:asciiTheme="majorHAnsi" w:hAnsiTheme="majorHAnsi"/>
          <w:sz w:val="24"/>
          <w:szCs w:val="24"/>
        </w:rPr>
        <w:t xml:space="preserve"> </w:t>
      </w:r>
    </w:p>
    <w:p w14:paraId="021C0FAE" w14:textId="77777777" w:rsidR="00256DD9" w:rsidRPr="00324DCD" w:rsidRDefault="00256DD9" w:rsidP="00527B41">
      <w:pPr>
        <w:pStyle w:val="ListParagraph"/>
        <w:ind w:left="426" w:hanging="142"/>
        <w:rPr>
          <w:rFonts w:asciiTheme="majorHAnsi" w:hAnsiTheme="majorHAnsi"/>
          <w:sz w:val="24"/>
          <w:szCs w:val="24"/>
        </w:rPr>
      </w:pPr>
    </w:p>
    <w:p w14:paraId="09923379" w14:textId="77777777" w:rsidR="00B02E45" w:rsidRDefault="00412C85" w:rsidP="00A679EB">
      <w:pPr>
        <w:pStyle w:val="ListParagraph"/>
        <w:ind w:left="0"/>
        <w:rPr>
          <w:rFonts w:asciiTheme="majorHAnsi" w:hAnsiTheme="majorHAnsi" w:cs="Arial"/>
          <w:sz w:val="24"/>
          <w:szCs w:val="24"/>
        </w:rPr>
      </w:pPr>
      <w:r w:rsidRPr="00324DCD">
        <w:rPr>
          <w:rFonts w:asciiTheme="majorHAnsi" w:hAnsiTheme="majorHAnsi"/>
          <w:sz w:val="24"/>
          <w:szCs w:val="24"/>
        </w:rPr>
        <w:t>Rappelant sa déclaration adoptée en octobre 2018</w:t>
      </w:r>
      <w:r w:rsidRPr="00324DCD">
        <w:rPr>
          <w:rStyle w:val="FootnoteReference"/>
          <w:rFonts w:asciiTheme="majorHAnsi" w:hAnsiTheme="majorHAnsi"/>
          <w:sz w:val="24"/>
          <w:szCs w:val="24"/>
        </w:rPr>
        <w:footnoteReference w:id="5"/>
      </w:r>
      <w:r w:rsidRPr="00324DCD">
        <w:rPr>
          <w:rFonts w:asciiTheme="majorHAnsi" w:hAnsiTheme="majorHAnsi"/>
          <w:sz w:val="24"/>
          <w:szCs w:val="24"/>
        </w:rPr>
        <w:t>, l</w:t>
      </w:r>
      <w:r w:rsidR="00716F28" w:rsidRPr="00324DCD">
        <w:rPr>
          <w:rFonts w:asciiTheme="majorHAnsi" w:hAnsiTheme="majorHAnsi"/>
          <w:sz w:val="24"/>
          <w:szCs w:val="24"/>
        </w:rPr>
        <w:t>a CNCDH salue</w:t>
      </w:r>
      <w:r w:rsidR="00B90BAE" w:rsidRPr="00324DCD">
        <w:rPr>
          <w:rFonts w:asciiTheme="majorHAnsi" w:hAnsiTheme="majorHAnsi"/>
          <w:sz w:val="24"/>
          <w:szCs w:val="24"/>
        </w:rPr>
        <w:t xml:space="preserve"> </w:t>
      </w:r>
      <w:r w:rsidRPr="00324DCD">
        <w:rPr>
          <w:rFonts w:asciiTheme="majorHAnsi" w:hAnsiTheme="majorHAnsi"/>
          <w:sz w:val="24"/>
          <w:szCs w:val="24"/>
        </w:rPr>
        <w:t xml:space="preserve">à nouveau </w:t>
      </w:r>
      <w:r w:rsidR="00B90BAE" w:rsidRPr="00324DCD">
        <w:rPr>
          <w:rFonts w:asciiTheme="majorHAnsi" w:hAnsiTheme="majorHAnsi"/>
          <w:sz w:val="24"/>
          <w:szCs w:val="24"/>
        </w:rPr>
        <w:t xml:space="preserve">l’initiative du </w:t>
      </w:r>
      <w:r w:rsidR="00D66E2E" w:rsidRPr="00324DCD">
        <w:rPr>
          <w:rFonts w:asciiTheme="majorHAnsi" w:hAnsiTheme="majorHAnsi"/>
          <w:sz w:val="24"/>
          <w:szCs w:val="24"/>
        </w:rPr>
        <w:t>Groupe intergouvernemental à composition non limitée sur un instrument juridiquement contraignant sur les sociétés transnationales et autres entreprises</w:t>
      </w:r>
      <w:r w:rsidR="00B33B15" w:rsidRPr="00324DCD">
        <w:rPr>
          <w:rFonts w:asciiTheme="majorHAnsi" w:hAnsiTheme="majorHAnsi"/>
          <w:sz w:val="24"/>
          <w:szCs w:val="24"/>
        </w:rPr>
        <w:t xml:space="preserve"> commerciales en matière de droits de l’homme</w:t>
      </w:r>
      <w:r w:rsidR="00D66E2E" w:rsidRPr="00324DCD">
        <w:rPr>
          <w:rFonts w:asciiTheme="majorHAnsi" w:hAnsiTheme="majorHAnsi"/>
          <w:sz w:val="24"/>
          <w:szCs w:val="24"/>
        </w:rPr>
        <w:t xml:space="preserve"> (OEIGWG)</w:t>
      </w:r>
      <w:r w:rsidR="004D5536" w:rsidRPr="00324DCD">
        <w:rPr>
          <w:rFonts w:asciiTheme="majorHAnsi" w:hAnsiTheme="majorHAnsi"/>
          <w:sz w:val="24"/>
          <w:szCs w:val="24"/>
        </w:rPr>
        <w:t xml:space="preserve">. </w:t>
      </w:r>
      <w:r w:rsidR="00B02E45">
        <w:rPr>
          <w:rFonts w:asciiTheme="majorHAnsi" w:hAnsiTheme="majorHAnsi"/>
          <w:sz w:val="24"/>
          <w:szCs w:val="24"/>
        </w:rPr>
        <w:t xml:space="preserve">Elle salue tout particulièrement </w:t>
      </w:r>
      <w:r w:rsidR="004D5536" w:rsidRPr="00324DCD">
        <w:rPr>
          <w:rFonts w:asciiTheme="majorHAnsi" w:hAnsiTheme="majorHAnsi" w:cs="Arial"/>
          <w:sz w:val="24"/>
          <w:szCs w:val="24"/>
        </w:rPr>
        <w:t xml:space="preserve">l’esprit du projet de traité </w:t>
      </w:r>
      <w:r w:rsidR="004B3BC3" w:rsidRPr="00324DCD">
        <w:rPr>
          <w:rFonts w:asciiTheme="majorHAnsi" w:hAnsiTheme="majorHAnsi" w:cs="Arial"/>
          <w:sz w:val="24"/>
          <w:szCs w:val="24"/>
        </w:rPr>
        <w:t xml:space="preserve">en </w:t>
      </w:r>
      <w:r w:rsidR="004D5536" w:rsidRPr="00324DCD">
        <w:rPr>
          <w:rFonts w:asciiTheme="majorHAnsi" w:hAnsiTheme="majorHAnsi" w:cs="Arial"/>
          <w:sz w:val="24"/>
          <w:szCs w:val="24"/>
        </w:rPr>
        <w:t xml:space="preserve">considérant </w:t>
      </w:r>
      <w:r w:rsidR="00A679EB" w:rsidRPr="00324DCD">
        <w:rPr>
          <w:rFonts w:asciiTheme="majorHAnsi" w:hAnsiTheme="majorHAnsi" w:cs="Arial"/>
          <w:sz w:val="24"/>
          <w:szCs w:val="24"/>
        </w:rPr>
        <w:t xml:space="preserve">que dans un contexte de </w:t>
      </w:r>
    </w:p>
    <w:p w14:paraId="48CD5158" w14:textId="77777777" w:rsidR="00B02E45" w:rsidRDefault="00B02E45" w:rsidP="00A679EB">
      <w:pPr>
        <w:pStyle w:val="ListParagraph"/>
        <w:ind w:left="0"/>
        <w:rPr>
          <w:rFonts w:asciiTheme="majorHAnsi" w:hAnsiTheme="majorHAnsi" w:cs="Arial"/>
          <w:sz w:val="24"/>
          <w:szCs w:val="24"/>
        </w:rPr>
      </w:pPr>
    </w:p>
    <w:p w14:paraId="07B68A22" w14:textId="77777777" w:rsidR="00B02E45" w:rsidRDefault="00B02E45" w:rsidP="00A679EB">
      <w:pPr>
        <w:pStyle w:val="ListParagraph"/>
        <w:ind w:left="0"/>
        <w:rPr>
          <w:rFonts w:asciiTheme="majorHAnsi" w:hAnsiTheme="majorHAnsi" w:cs="Arial"/>
          <w:sz w:val="24"/>
          <w:szCs w:val="24"/>
        </w:rPr>
      </w:pPr>
    </w:p>
    <w:p w14:paraId="00DDF77F" w14:textId="77777777" w:rsidR="00B02E45" w:rsidRDefault="00B02E45" w:rsidP="00A679EB">
      <w:pPr>
        <w:pStyle w:val="ListParagraph"/>
        <w:ind w:left="0"/>
        <w:rPr>
          <w:rFonts w:asciiTheme="majorHAnsi" w:hAnsiTheme="majorHAnsi" w:cs="Arial"/>
          <w:sz w:val="24"/>
          <w:szCs w:val="24"/>
        </w:rPr>
      </w:pPr>
    </w:p>
    <w:p w14:paraId="5E6C7F01" w14:textId="77777777" w:rsidR="00B02E45" w:rsidRDefault="00B02E45" w:rsidP="00A679EB">
      <w:pPr>
        <w:pStyle w:val="ListParagraph"/>
        <w:ind w:left="0"/>
        <w:rPr>
          <w:rFonts w:asciiTheme="majorHAnsi" w:hAnsiTheme="majorHAnsi" w:cs="Arial"/>
          <w:sz w:val="24"/>
          <w:szCs w:val="24"/>
        </w:rPr>
      </w:pPr>
    </w:p>
    <w:p w14:paraId="0351283A" w14:textId="77777777" w:rsidR="00B02E45" w:rsidRDefault="00B02E45" w:rsidP="00A679EB">
      <w:pPr>
        <w:pStyle w:val="ListParagraph"/>
        <w:ind w:left="0"/>
        <w:rPr>
          <w:rFonts w:asciiTheme="majorHAnsi" w:hAnsiTheme="majorHAnsi" w:cs="Arial"/>
          <w:sz w:val="24"/>
          <w:szCs w:val="24"/>
        </w:rPr>
      </w:pPr>
    </w:p>
    <w:p w14:paraId="5B80F65C" w14:textId="77777777" w:rsidR="00324DCD" w:rsidRPr="008026A8" w:rsidRDefault="00A679EB" w:rsidP="00A679EB">
      <w:pPr>
        <w:pStyle w:val="ListParagraph"/>
        <w:ind w:left="0"/>
        <w:rPr>
          <w:rFonts w:asciiTheme="majorHAnsi" w:hAnsiTheme="majorHAnsi" w:cs="Arial"/>
          <w:sz w:val="24"/>
          <w:szCs w:val="24"/>
        </w:rPr>
      </w:pPr>
      <w:r w:rsidRPr="008026A8">
        <w:rPr>
          <w:rFonts w:asciiTheme="majorHAnsi" w:hAnsiTheme="majorHAnsi" w:cs="Arial"/>
          <w:sz w:val="24"/>
          <w:szCs w:val="24"/>
        </w:rPr>
        <w:t>mondialisation économique, celui-ci c</w:t>
      </w:r>
      <w:r w:rsidR="004D5536" w:rsidRPr="008026A8">
        <w:rPr>
          <w:rFonts w:asciiTheme="majorHAnsi" w:hAnsiTheme="majorHAnsi" w:cs="Arial"/>
          <w:sz w:val="24"/>
          <w:szCs w:val="24"/>
        </w:rPr>
        <w:t>onstitue une avancée pour le processus de responsabilisation des entreprises en matière de droits de l’homme</w:t>
      </w:r>
      <w:r w:rsidRPr="008026A8">
        <w:rPr>
          <w:rFonts w:asciiTheme="majorHAnsi" w:hAnsiTheme="majorHAnsi" w:cs="Arial"/>
          <w:sz w:val="24"/>
          <w:szCs w:val="24"/>
        </w:rPr>
        <w:t xml:space="preserve">. </w:t>
      </w:r>
      <w:r w:rsidR="005B004B" w:rsidRPr="008026A8">
        <w:rPr>
          <w:rFonts w:asciiTheme="majorHAnsi" w:hAnsiTheme="majorHAnsi" w:cs="Arial"/>
          <w:sz w:val="24"/>
          <w:szCs w:val="24"/>
        </w:rPr>
        <w:t xml:space="preserve">Aussi, elle </w:t>
      </w:r>
      <w:r w:rsidRPr="008026A8">
        <w:rPr>
          <w:rFonts w:asciiTheme="majorHAnsi" w:hAnsiTheme="majorHAnsi" w:cs="Arial"/>
          <w:sz w:val="24"/>
          <w:szCs w:val="24"/>
        </w:rPr>
        <w:t>se</w:t>
      </w:r>
      <w:r w:rsidR="004D5536" w:rsidRPr="008026A8">
        <w:rPr>
          <w:rFonts w:asciiTheme="majorHAnsi" w:hAnsiTheme="majorHAnsi" w:cs="Arial"/>
          <w:sz w:val="24"/>
          <w:szCs w:val="24"/>
        </w:rPr>
        <w:t xml:space="preserve"> félicite </w:t>
      </w:r>
    </w:p>
    <w:p w14:paraId="7D781797" w14:textId="533A4A66" w:rsidR="00A679EB" w:rsidRPr="00324DCD" w:rsidRDefault="004D5536" w:rsidP="00A679EB">
      <w:pPr>
        <w:pStyle w:val="ListParagraph"/>
        <w:ind w:left="0"/>
        <w:rPr>
          <w:rFonts w:asciiTheme="majorHAnsi" w:hAnsiTheme="majorHAnsi" w:cs="Arial"/>
          <w:sz w:val="24"/>
          <w:szCs w:val="24"/>
        </w:rPr>
      </w:pPr>
      <w:r w:rsidRPr="008026A8">
        <w:rPr>
          <w:rFonts w:asciiTheme="majorHAnsi" w:hAnsiTheme="majorHAnsi" w:cs="Arial"/>
          <w:sz w:val="24"/>
          <w:szCs w:val="24"/>
        </w:rPr>
        <w:t>que le texte marque la reconnaissanc</w:t>
      </w:r>
      <w:r w:rsidR="001D753A" w:rsidRPr="008026A8">
        <w:rPr>
          <w:rFonts w:asciiTheme="majorHAnsi" w:hAnsiTheme="majorHAnsi" w:cs="Arial"/>
          <w:sz w:val="24"/>
          <w:szCs w:val="24"/>
        </w:rPr>
        <w:t>e de l’importance d’établir un cadre international cohérent</w:t>
      </w:r>
      <w:r w:rsidRPr="008026A8">
        <w:rPr>
          <w:rFonts w:asciiTheme="majorHAnsi" w:hAnsiTheme="majorHAnsi" w:cs="Arial"/>
          <w:sz w:val="24"/>
          <w:szCs w:val="24"/>
        </w:rPr>
        <w:t xml:space="preserve"> en matière de droits de l’homme et </w:t>
      </w:r>
      <w:r w:rsidR="002C1AF4">
        <w:rPr>
          <w:rFonts w:asciiTheme="majorHAnsi" w:hAnsiTheme="majorHAnsi" w:cs="Arial"/>
          <w:sz w:val="24"/>
          <w:szCs w:val="24"/>
        </w:rPr>
        <w:t>de commerce</w:t>
      </w:r>
      <w:r w:rsidR="00560AD8" w:rsidRPr="008026A8">
        <w:rPr>
          <w:rFonts w:asciiTheme="majorHAnsi" w:hAnsiTheme="majorHAnsi" w:cs="Arial"/>
          <w:sz w:val="24"/>
          <w:szCs w:val="24"/>
        </w:rPr>
        <w:t>.</w:t>
      </w:r>
      <w:r w:rsidRPr="008026A8">
        <w:rPr>
          <w:rFonts w:asciiTheme="majorHAnsi" w:hAnsiTheme="majorHAnsi" w:cs="Arial"/>
          <w:sz w:val="24"/>
          <w:szCs w:val="24"/>
        </w:rPr>
        <w:t xml:space="preserve"> Elle</w:t>
      </w:r>
      <w:r w:rsidR="00324DCD" w:rsidRPr="008026A8">
        <w:rPr>
          <w:rFonts w:asciiTheme="majorHAnsi" w:hAnsiTheme="majorHAnsi" w:cs="Arial"/>
          <w:sz w:val="24"/>
          <w:szCs w:val="24"/>
        </w:rPr>
        <w:t xml:space="preserve"> se satisfait également du</w:t>
      </w:r>
      <w:r w:rsidRPr="008026A8">
        <w:rPr>
          <w:rFonts w:asciiTheme="majorHAnsi" w:hAnsiTheme="majorHAnsi" w:cs="Arial"/>
          <w:sz w:val="24"/>
          <w:szCs w:val="24"/>
        </w:rPr>
        <w:t xml:space="preserve"> rôle central accordé à la diligence raisonnable</w:t>
      </w:r>
      <w:r w:rsidRPr="008026A8">
        <w:rPr>
          <w:rFonts w:asciiTheme="majorHAnsi" w:hAnsiTheme="majorHAnsi" w:cs="Arial"/>
          <w:i/>
          <w:sz w:val="24"/>
          <w:szCs w:val="24"/>
        </w:rPr>
        <w:t xml:space="preserve"> </w:t>
      </w:r>
      <w:r w:rsidRPr="008026A8">
        <w:rPr>
          <w:rFonts w:asciiTheme="majorHAnsi" w:hAnsiTheme="majorHAnsi" w:cs="Arial"/>
          <w:sz w:val="24"/>
          <w:szCs w:val="24"/>
        </w:rPr>
        <w:t xml:space="preserve">pour s’assurer de la responsabilité effective des entreprises et l’accent mis sur la coopération mutuelle entre </w:t>
      </w:r>
      <w:r w:rsidR="00A679EB" w:rsidRPr="008026A8">
        <w:rPr>
          <w:rFonts w:asciiTheme="majorHAnsi" w:hAnsiTheme="majorHAnsi" w:cs="Arial"/>
          <w:sz w:val="24"/>
          <w:szCs w:val="24"/>
        </w:rPr>
        <w:t>Etats</w:t>
      </w:r>
      <w:r w:rsidR="00A679EB" w:rsidRPr="00324DCD">
        <w:rPr>
          <w:rFonts w:asciiTheme="majorHAnsi" w:hAnsiTheme="majorHAnsi" w:cs="Arial"/>
          <w:sz w:val="24"/>
          <w:szCs w:val="24"/>
        </w:rPr>
        <w:t xml:space="preserve">. </w:t>
      </w:r>
    </w:p>
    <w:p w14:paraId="032DE97B" w14:textId="77777777" w:rsidR="00324DCD" w:rsidRPr="00324DCD" w:rsidRDefault="00324DCD" w:rsidP="00A679EB">
      <w:pPr>
        <w:pStyle w:val="ListParagraph"/>
        <w:ind w:left="0"/>
        <w:rPr>
          <w:rFonts w:asciiTheme="majorHAnsi" w:hAnsiTheme="majorHAnsi" w:cs="Arial"/>
          <w:sz w:val="24"/>
          <w:szCs w:val="24"/>
        </w:rPr>
      </w:pPr>
    </w:p>
    <w:p w14:paraId="1362BD46" w14:textId="434EBDC3" w:rsidR="00560AD8" w:rsidRDefault="00324DCD" w:rsidP="00560AD8">
      <w:pPr>
        <w:pStyle w:val="ListParagraph"/>
        <w:ind w:left="0"/>
        <w:rPr>
          <w:rFonts w:asciiTheme="majorHAnsi" w:hAnsiTheme="majorHAnsi" w:cs="Arial"/>
          <w:sz w:val="24"/>
          <w:szCs w:val="24"/>
        </w:rPr>
      </w:pPr>
      <w:r w:rsidRPr="00324DCD">
        <w:rPr>
          <w:rFonts w:asciiTheme="majorHAnsi" w:hAnsiTheme="majorHAnsi" w:cs="Arial"/>
          <w:sz w:val="24"/>
          <w:szCs w:val="24"/>
        </w:rPr>
        <w:t>Comme en octobre 2018, l</w:t>
      </w:r>
      <w:r w:rsidR="00412C85" w:rsidRPr="00324DCD">
        <w:rPr>
          <w:rFonts w:asciiTheme="majorHAnsi" w:hAnsiTheme="majorHAnsi" w:cs="Arial"/>
          <w:sz w:val="24"/>
          <w:szCs w:val="24"/>
        </w:rPr>
        <w:t>a</w:t>
      </w:r>
      <w:r w:rsidR="000F098D" w:rsidRPr="00324DCD">
        <w:rPr>
          <w:rFonts w:asciiTheme="majorHAnsi" w:hAnsiTheme="majorHAnsi" w:cs="Arial"/>
          <w:sz w:val="24"/>
          <w:szCs w:val="24"/>
        </w:rPr>
        <w:t xml:space="preserve"> CNCDH </w:t>
      </w:r>
      <w:r w:rsidRPr="00324DCD">
        <w:rPr>
          <w:rFonts w:asciiTheme="majorHAnsi" w:hAnsiTheme="majorHAnsi" w:cs="Arial"/>
          <w:sz w:val="24"/>
          <w:szCs w:val="24"/>
        </w:rPr>
        <w:t>souhaite à nouveau mentionner</w:t>
      </w:r>
      <w:r w:rsidR="00412C85" w:rsidRPr="00324DCD">
        <w:rPr>
          <w:rFonts w:asciiTheme="majorHAnsi" w:hAnsiTheme="majorHAnsi" w:cs="Arial"/>
          <w:sz w:val="24"/>
          <w:szCs w:val="24"/>
        </w:rPr>
        <w:t xml:space="preserve"> </w:t>
      </w:r>
      <w:r w:rsidR="000F098D" w:rsidRPr="00324DCD">
        <w:rPr>
          <w:rFonts w:asciiTheme="majorHAnsi" w:hAnsiTheme="majorHAnsi" w:cs="Arial"/>
          <w:sz w:val="24"/>
          <w:szCs w:val="24"/>
        </w:rPr>
        <w:t xml:space="preserve">que la multiplication d’instruments de </w:t>
      </w:r>
      <w:r w:rsidR="000F098D" w:rsidRPr="00324DCD">
        <w:rPr>
          <w:rFonts w:asciiTheme="majorHAnsi" w:hAnsiTheme="majorHAnsi" w:cs="Arial"/>
          <w:i/>
          <w:sz w:val="24"/>
          <w:szCs w:val="24"/>
        </w:rPr>
        <w:t>soft law</w:t>
      </w:r>
      <w:r w:rsidR="000F098D" w:rsidRPr="00324DCD">
        <w:rPr>
          <w:rFonts w:asciiTheme="majorHAnsi" w:hAnsiTheme="majorHAnsi" w:cs="Arial"/>
          <w:sz w:val="24"/>
          <w:szCs w:val="24"/>
        </w:rPr>
        <w:t xml:space="preserve"> a permis de changer les pratiques d’entreprise</w:t>
      </w:r>
      <w:r w:rsidR="00412C85" w:rsidRPr="00324DCD">
        <w:rPr>
          <w:rFonts w:asciiTheme="majorHAnsi" w:hAnsiTheme="majorHAnsi" w:cs="Arial"/>
          <w:sz w:val="24"/>
          <w:szCs w:val="24"/>
        </w:rPr>
        <w:t>s</w:t>
      </w:r>
      <w:r w:rsidR="000F098D" w:rsidRPr="00324DCD">
        <w:rPr>
          <w:rFonts w:asciiTheme="majorHAnsi" w:hAnsiTheme="majorHAnsi" w:cs="Arial"/>
          <w:sz w:val="24"/>
          <w:szCs w:val="24"/>
        </w:rPr>
        <w:t xml:space="preserve"> dans la conduite des affaires. Sans remettre en question l’évolution de la </w:t>
      </w:r>
      <w:r w:rsidR="000F098D" w:rsidRPr="00324DCD">
        <w:rPr>
          <w:rFonts w:asciiTheme="majorHAnsi" w:hAnsiTheme="majorHAnsi" w:cs="Arial"/>
          <w:i/>
          <w:sz w:val="24"/>
          <w:szCs w:val="24"/>
        </w:rPr>
        <w:t>soft law</w:t>
      </w:r>
      <w:r w:rsidR="000F098D" w:rsidRPr="00324DCD">
        <w:rPr>
          <w:rFonts w:asciiTheme="majorHAnsi" w:hAnsiTheme="majorHAnsi" w:cs="Arial"/>
          <w:sz w:val="24"/>
          <w:szCs w:val="24"/>
        </w:rPr>
        <w:t xml:space="preserve"> et des engagements volontaires, la CNCDH considère qu’un texte contraignant est </w:t>
      </w:r>
      <w:r w:rsidR="005B004B" w:rsidRPr="00324DCD">
        <w:rPr>
          <w:rFonts w:asciiTheme="majorHAnsi" w:hAnsiTheme="majorHAnsi" w:cs="Arial"/>
          <w:sz w:val="24"/>
          <w:szCs w:val="24"/>
        </w:rPr>
        <w:t xml:space="preserve">désormais </w:t>
      </w:r>
      <w:r w:rsidR="000F098D" w:rsidRPr="00324DCD">
        <w:rPr>
          <w:rFonts w:asciiTheme="majorHAnsi" w:hAnsiTheme="majorHAnsi" w:cs="Arial"/>
          <w:sz w:val="24"/>
          <w:szCs w:val="24"/>
        </w:rPr>
        <w:t xml:space="preserve">nécessaire. Elle souhaite insister sur le fait que </w:t>
      </w:r>
      <w:r w:rsidR="00921195">
        <w:rPr>
          <w:rFonts w:asciiTheme="majorHAnsi" w:hAnsiTheme="majorHAnsi" w:cs="Arial"/>
          <w:sz w:val="24"/>
          <w:szCs w:val="24"/>
        </w:rPr>
        <w:t xml:space="preserve">les </w:t>
      </w:r>
      <w:r w:rsidR="000F098D" w:rsidRPr="00324DCD">
        <w:rPr>
          <w:rFonts w:asciiTheme="majorHAnsi" w:hAnsiTheme="majorHAnsi" w:cs="Arial"/>
          <w:sz w:val="24"/>
          <w:szCs w:val="24"/>
        </w:rPr>
        <w:t>normes contraignantes et normes volontaires ne</w:t>
      </w:r>
      <w:r w:rsidR="00196BBF">
        <w:rPr>
          <w:rFonts w:asciiTheme="majorHAnsi" w:hAnsiTheme="majorHAnsi" w:cs="Arial"/>
          <w:sz w:val="24"/>
          <w:szCs w:val="24"/>
        </w:rPr>
        <w:t xml:space="preserve"> sont pas incompatibles ou forcé</w:t>
      </w:r>
      <w:r w:rsidR="000F098D" w:rsidRPr="00324DCD">
        <w:rPr>
          <w:rFonts w:asciiTheme="majorHAnsi" w:hAnsiTheme="majorHAnsi" w:cs="Arial"/>
          <w:sz w:val="24"/>
          <w:szCs w:val="24"/>
        </w:rPr>
        <w:t>ment concurrentes, mais au contraire, elles sont complémentaires. Si depuis les années 1970, on assiste a</w:t>
      </w:r>
      <w:r w:rsidR="00CA24D9">
        <w:rPr>
          <w:rFonts w:asciiTheme="majorHAnsi" w:hAnsiTheme="majorHAnsi" w:cs="Arial"/>
          <w:sz w:val="24"/>
          <w:szCs w:val="24"/>
        </w:rPr>
        <w:t>u sein des travaux des Nations u</w:t>
      </w:r>
      <w:r w:rsidR="000F098D" w:rsidRPr="00324DCD">
        <w:rPr>
          <w:rFonts w:asciiTheme="majorHAnsi" w:hAnsiTheme="majorHAnsi" w:cs="Arial"/>
          <w:sz w:val="24"/>
          <w:szCs w:val="24"/>
        </w:rPr>
        <w:t xml:space="preserve">nies à une tension entre </w:t>
      </w:r>
      <w:r w:rsidR="000F098D" w:rsidRPr="00324DCD">
        <w:rPr>
          <w:rFonts w:asciiTheme="majorHAnsi" w:hAnsiTheme="majorHAnsi" w:cs="Arial"/>
          <w:i/>
          <w:sz w:val="24"/>
          <w:szCs w:val="24"/>
        </w:rPr>
        <w:t>hard law</w:t>
      </w:r>
      <w:r w:rsidR="000F098D" w:rsidRPr="00324DCD">
        <w:rPr>
          <w:rFonts w:asciiTheme="majorHAnsi" w:hAnsiTheme="majorHAnsi" w:cs="Arial"/>
          <w:sz w:val="24"/>
          <w:szCs w:val="24"/>
        </w:rPr>
        <w:t xml:space="preserve"> et </w:t>
      </w:r>
      <w:r w:rsidR="000F098D" w:rsidRPr="00324DCD">
        <w:rPr>
          <w:rFonts w:asciiTheme="majorHAnsi" w:hAnsiTheme="majorHAnsi" w:cs="Arial"/>
          <w:i/>
          <w:sz w:val="24"/>
          <w:szCs w:val="24"/>
        </w:rPr>
        <w:t>soft law</w:t>
      </w:r>
      <w:r w:rsidR="000F098D" w:rsidRPr="00324DCD">
        <w:rPr>
          <w:rFonts w:asciiTheme="majorHAnsi" w:hAnsiTheme="majorHAnsi" w:cs="Arial"/>
          <w:sz w:val="24"/>
          <w:szCs w:val="24"/>
        </w:rPr>
        <w:t xml:space="preserve"> en la matière, le projet de traité représente une occasion de démontrer qu’une articulation entre ces deux types de normativité est possible. Ainsi, la CNCDH encourage la poursuite de ces deux voies en les articulant au profit d’une protection plus efficace des droits de l’homme.</w:t>
      </w:r>
      <w:r w:rsidR="00560AD8">
        <w:rPr>
          <w:rFonts w:asciiTheme="majorHAnsi" w:hAnsiTheme="majorHAnsi" w:cs="Arial"/>
          <w:sz w:val="24"/>
          <w:szCs w:val="24"/>
        </w:rPr>
        <w:t xml:space="preserve"> </w:t>
      </w:r>
    </w:p>
    <w:p w14:paraId="4E03D2A4" w14:textId="77777777" w:rsidR="00560AD8" w:rsidRDefault="00560AD8" w:rsidP="00560AD8">
      <w:pPr>
        <w:pStyle w:val="ListParagraph"/>
        <w:ind w:left="0"/>
        <w:rPr>
          <w:rFonts w:asciiTheme="majorHAnsi" w:hAnsiTheme="majorHAnsi" w:cs="Arial"/>
          <w:sz w:val="24"/>
          <w:szCs w:val="24"/>
        </w:rPr>
      </w:pPr>
    </w:p>
    <w:p w14:paraId="03B4AE81" w14:textId="44DC7F33" w:rsidR="00560AD8" w:rsidRDefault="00560AD8" w:rsidP="00560AD8">
      <w:pPr>
        <w:pStyle w:val="ListParagraph"/>
        <w:ind w:left="0"/>
        <w:rPr>
          <w:rFonts w:asciiTheme="majorHAnsi" w:hAnsiTheme="majorHAnsi"/>
          <w:sz w:val="24"/>
          <w:szCs w:val="24"/>
        </w:rPr>
      </w:pPr>
      <w:r w:rsidRPr="00324DCD">
        <w:rPr>
          <w:rFonts w:asciiTheme="majorHAnsi" w:hAnsiTheme="majorHAnsi"/>
          <w:sz w:val="24"/>
          <w:szCs w:val="24"/>
        </w:rPr>
        <w:t xml:space="preserve">La CNCDH considère qu’il conviendrait de faire référence aux </w:t>
      </w:r>
      <w:r w:rsidRPr="00324DCD">
        <w:rPr>
          <w:rFonts w:asciiTheme="majorHAnsi" w:hAnsiTheme="majorHAnsi"/>
          <w:i/>
          <w:sz w:val="24"/>
          <w:szCs w:val="24"/>
        </w:rPr>
        <w:t>Principes directeurs des Nations unies sur les entreprises et les droits de l’homme</w:t>
      </w:r>
      <w:r w:rsidRPr="00324DCD">
        <w:rPr>
          <w:rFonts w:asciiTheme="majorHAnsi" w:hAnsiTheme="majorHAnsi"/>
          <w:sz w:val="24"/>
          <w:szCs w:val="24"/>
        </w:rPr>
        <w:t xml:space="preserve"> (PDNU) afin d’insister sur la complémentarité avec le projet de traité. Il conviendrait également d’ajouter des références à d’autres textes internationaux telles que la </w:t>
      </w:r>
      <w:r w:rsidRPr="00560AD8">
        <w:rPr>
          <w:rFonts w:asciiTheme="majorHAnsi" w:hAnsiTheme="majorHAnsi"/>
          <w:i/>
          <w:sz w:val="24"/>
          <w:szCs w:val="24"/>
        </w:rPr>
        <w:t>Charte internationale des droits de l’homme</w:t>
      </w:r>
      <w:r>
        <w:rPr>
          <w:rStyle w:val="FootnoteReference"/>
          <w:rFonts w:asciiTheme="majorHAnsi" w:hAnsiTheme="majorHAnsi"/>
          <w:i/>
          <w:sz w:val="24"/>
          <w:szCs w:val="24"/>
        </w:rPr>
        <w:footnoteReference w:id="6"/>
      </w:r>
      <w:r w:rsidRPr="00324DCD">
        <w:rPr>
          <w:rFonts w:asciiTheme="majorHAnsi" w:hAnsiTheme="majorHAnsi"/>
          <w:sz w:val="24"/>
          <w:szCs w:val="24"/>
        </w:rPr>
        <w:t>,</w:t>
      </w:r>
      <w:r>
        <w:rPr>
          <w:rFonts w:asciiTheme="majorHAnsi" w:hAnsiTheme="majorHAnsi"/>
          <w:sz w:val="24"/>
          <w:szCs w:val="24"/>
        </w:rPr>
        <w:t xml:space="preserve"> </w:t>
      </w:r>
      <w:r w:rsidRPr="00324DCD">
        <w:rPr>
          <w:rFonts w:asciiTheme="majorHAnsi" w:hAnsiTheme="majorHAnsi"/>
          <w:sz w:val="24"/>
          <w:szCs w:val="24"/>
        </w:rPr>
        <w:t xml:space="preserve">fondée sur la </w:t>
      </w:r>
      <w:r w:rsidRPr="00560AD8">
        <w:rPr>
          <w:rFonts w:asciiTheme="majorHAnsi" w:hAnsiTheme="majorHAnsi"/>
          <w:i/>
          <w:sz w:val="24"/>
          <w:szCs w:val="24"/>
        </w:rPr>
        <w:t>Déclaration universelle des droits de l’</w:t>
      </w:r>
      <w:r w:rsidR="00E83D14">
        <w:rPr>
          <w:rFonts w:asciiTheme="majorHAnsi" w:hAnsiTheme="majorHAnsi"/>
          <w:i/>
          <w:sz w:val="24"/>
          <w:szCs w:val="24"/>
        </w:rPr>
        <w:t>H</w:t>
      </w:r>
      <w:r w:rsidRPr="00560AD8">
        <w:rPr>
          <w:rFonts w:asciiTheme="majorHAnsi" w:hAnsiTheme="majorHAnsi"/>
          <w:i/>
          <w:sz w:val="24"/>
          <w:szCs w:val="24"/>
        </w:rPr>
        <w:t>omme</w:t>
      </w:r>
      <w:r w:rsidRPr="00324DCD">
        <w:rPr>
          <w:rFonts w:asciiTheme="majorHAnsi" w:hAnsiTheme="majorHAnsi"/>
          <w:sz w:val="24"/>
          <w:szCs w:val="24"/>
        </w:rPr>
        <w:t xml:space="preserve">  et les normes de l’Organisation internationale du travail (OIT)</w:t>
      </w:r>
      <w:r w:rsidR="00CD3054">
        <w:rPr>
          <w:rFonts w:asciiTheme="majorHAnsi" w:hAnsiTheme="majorHAnsi"/>
          <w:sz w:val="24"/>
          <w:szCs w:val="24"/>
        </w:rPr>
        <w:t xml:space="preserve"> et de préciser l’articulation entre ces textes et le projet de traité</w:t>
      </w:r>
      <w:r w:rsidRPr="00324DCD">
        <w:rPr>
          <w:rFonts w:asciiTheme="majorHAnsi" w:hAnsiTheme="majorHAnsi"/>
          <w:sz w:val="24"/>
          <w:szCs w:val="24"/>
        </w:rPr>
        <w:t>. D</w:t>
      </w:r>
      <w:r w:rsidR="00CD3054">
        <w:rPr>
          <w:rFonts w:asciiTheme="majorHAnsi" w:hAnsiTheme="majorHAnsi"/>
          <w:sz w:val="24"/>
          <w:szCs w:val="24"/>
        </w:rPr>
        <w:t xml:space="preserve">e telles </w:t>
      </w:r>
      <w:r w:rsidR="00F525D6">
        <w:rPr>
          <w:rFonts w:asciiTheme="majorHAnsi" w:hAnsiTheme="majorHAnsi"/>
          <w:sz w:val="24"/>
          <w:szCs w:val="24"/>
        </w:rPr>
        <w:t xml:space="preserve">références et </w:t>
      </w:r>
      <w:r w:rsidR="00CD3054">
        <w:rPr>
          <w:rFonts w:asciiTheme="majorHAnsi" w:hAnsiTheme="majorHAnsi"/>
          <w:sz w:val="24"/>
          <w:szCs w:val="24"/>
        </w:rPr>
        <w:t>précisions devraient</w:t>
      </w:r>
      <w:r w:rsidRPr="00324DCD">
        <w:rPr>
          <w:rFonts w:asciiTheme="majorHAnsi" w:hAnsiTheme="majorHAnsi"/>
          <w:sz w:val="24"/>
          <w:szCs w:val="24"/>
        </w:rPr>
        <w:t xml:space="preserve"> se situer </w:t>
      </w:r>
      <w:r>
        <w:rPr>
          <w:rFonts w:asciiTheme="majorHAnsi" w:hAnsiTheme="majorHAnsi"/>
          <w:sz w:val="24"/>
          <w:szCs w:val="24"/>
        </w:rPr>
        <w:t>dans un article spécifique.</w:t>
      </w:r>
    </w:p>
    <w:p w14:paraId="459744EF" w14:textId="77777777" w:rsidR="00560AD8" w:rsidRDefault="00560AD8" w:rsidP="0018087A">
      <w:pPr>
        <w:pStyle w:val="ListParagraph"/>
        <w:ind w:left="0"/>
        <w:rPr>
          <w:rFonts w:asciiTheme="majorHAnsi" w:hAnsiTheme="majorHAnsi"/>
          <w:sz w:val="24"/>
          <w:szCs w:val="24"/>
        </w:rPr>
      </w:pPr>
    </w:p>
    <w:p w14:paraId="573C55E5" w14:textId="591ECB9D" w:rsidR="008B48E8" w:rsidRDefault="00324DCD" w:rsidP="0018087A">
      <w:pPr>
        <w:pStyle w:val="ListParagraph"/>
        <w:ind w:left="0"/>
        <w:rPr>
          <w:rFonts w:asciiTheme="majorHAnsi" w:hAnsiTheme="majorHAnsi"/>
          <w:sz w:val="24"/>
          <w:szCs w:val="24"/>
        </w:rPr>
      </w:pPr>
      <w:r>
        <w:rPr>
          <w:rFonts w:asciiTheme="majorHAnsi" w:hAnsiTheme="majorHAnsi"/>
          <w:sz w:val="24"/>
          <w:szCs w:val="24"/>
        </w:rPr>
        <w:t>La CNCDH avait déjà regretté dans sa déclaration</w:t>
      </w:r>
      <w:r w:rsidR="008B48E8" w:rsidRPr="00324DCD">
        <w:rPr>
          <w:rFonts w:asciiTheme="majorHAnsi" w:hAnsiTheme="majorHAnsi"/>
          <w:sz w:val="24"/>
          <w:szCs w:val="24"/>
        </w:rPr>
        <w:t xml:space="preserve"> </w:t>
      </w:r>
      <w:r w:rsidR="00560AD8">
        <w:rPr>
          <w:rFonts w:asciiTheme="majorHAnsi" w:hAnsiTheme="majorHAnsi"/>
          <w:sz w:val="24"/>
          <w:szCs w:val="24"/>
        </w:rPr>
        <w:t>d’</w:t>
      </w:r>
      <w:r w:rsidR="00B02E45">
        <w:rPr>
          <w:rFonts w:asciiTheme="majorHAnsi" w:hAnsiTheme="majorHAnsi"/>
          <w:sz w:val="24"/>
          <w:szCs w:val="24"/>
        </w:rPr>
        <w:t xml:space="preserve">octobre 2018 </w:t>
      </w:r>
      <w:r w:rsidR="00CA24D9">
        <w:rPr>
          <w:rFonts w:asciiTheme="majorHAnsi" w:hAnsiTheme="majorHAnsi"/>
          <w:sz w:val="24"/>
          <w:szCs w:val="24"/>
        </w:rPr>
        <w:t>que le projet de traité et son protocole optionnel n’aient pas été officiellement traduits</w:t>
      </w:r>
      <w:r w:rsidR="008B48E8" w:rsidRPr="00324DCD">
        <w:rPr>
          <w:rFonts w:asciiTheme="majorHAnsi" w:hAnsiTheme="majorHAnsi"/>
          <w:sz w:val="24"/>
          <w:szCs w:val="24"/>
        </w:rPr>
        <w:t xml:space="preserve"> dans les six langues de travail des Nations unies. </w:t>
      </w:r>
      <w:r w:rsidR="00BB6BF0" w:rsidRPr="00324DCD">
        <w:rPr>
          <w:rFonts w:asciiTheme="majorHAnsi" w:hAnsiTheme="majorHAnsi"/>
          <w:sz w:val="24"/>
          <w:szCs w:val="24"/>
        </w:rPr>
        <w:t>La CNCDH renouvelle</w:t>
      </w:r>
      <w:r w:rsidR="007E7BFD" w:rsidRPr="00324DCD">
        <w:rPr>
          <w:rFonts w:asciiTheme="majorHAnsi" w:hAnsiTheme="majorHAnsi"/>
          <w:sz w:val="24"/>
          <w:szCs w:val="24"/>
        </w:rPr>
        <w:t xml:space="preserve"> ce constat et ce regret.</w:t>
      </w:r>
      <w:r w:rsidR="00EB4DE6" w:rsidRPr="00324DCD">
        <w:rPr>
          <w:rFonts w:asciiTheme="majorHAnsi" w:hAnsiTheme="majorHAnsi"/>
          <w:sz w:val="24"/>
          <w:szCs w:val="24"/>
        </w:rPr>
        <w:t xml:space="preserve"> </w:t>
      </w:r>
      <w:r w:rsidR="00833A54" w:rsidRPr="00324DCD">
        <w:rPr>
          <w:rFonts w:asciiTheme="majorHAnsi" w:hAnsiTheme="majorHAnsi"/>
          <w:sz w:val="24"/>
          <w:szCs w:val="24"/>
        </w:rPr>
        <w:t xml:space="preserve">En effet, </w:t>
      </w:r>
      <w:r w:rsidR="00CA24D9">
        <w:rPr>
          <w:rFonts w:asciiTheme="majorHAnsi" w:hAnsiTheme="majorHAnsi"/>
          <w:sz w:val="24"/>
          <w:szCs w:val="24"/>
        </w:rPr>
        <w:t>l’absence de traduction constitue un véritable obstacle à</w:t>
      </w:r>
      <w:r w:rsidR="00833A54" w:rsidRPr="00324DCD">
        <w:rPr>
          <w:rFonts w:asciiTheme="majorHAnsi" w:hAnsiTheme="majorHAnsi"/>
          <w:sz w:val="24"/>
          <w:szCs w:val="24"/>
        </w:rPr>
        <w:t xml:space="preserve"> l’appropriation </w:t>
      </w:r>
      <w:r w:rsidR="002C744D" w:rsidRPr="00324DCD">
        <w:rPr>
          <w:rFonts w:asciiTheme="majorHAnsi" w:hAnsiTheme="majorHAnsi"/>
          <w:sz w:val="24"/>
          <w:szCs w:val="24"/>
        </w:rPr>
        <w:t xml:space="preserve">et </w:t>
      </w:r>
      <w:r w:rsidR="00CA24D9">
        <w:rPr>
          <w:rFonts w:asciiTheme="majorHAnsi" w:hAnsiTheme="majorHAnsi"/>
          <w:sz w:val="24"/>
          <w:szCs w:val="24"/>
        </w:rPr>
        <w:t xml:space="preserve">à </w:t>
      </w:r>
      <w:r w:rsidR="002C744D" w:rsidRPr="00324DCD">
        <w:rPr>
          <w:rFonts w:asciiTheme="majorHAnsi" w:hAnsiTheme="majorHAnsi"/>
          <w:sz w:val="24"/>
          <w:szCs w:val="24"/>
        </w:rPr>
        <w:t xml:space="preserve">la clarification </w:t>
      </w:r>
      <w:r w:rsidR="00833A54" w:rsidRPr="00324DCD">
        <w:rPr>
          <w:rFonts w:asciiTheme="majorHAnsi" w:hAnsiTheme="majorHAnsi"/>
          <w:sz w:val="24"/>
          <w:szCs w:val="24"/>
        </w:rPr>
        <w:t>de concepts contenus dans le projet de traité</w:t>
      </w:r>
      <w:r w:rsidR="003F4FFE" w:rsidRPr="00324DCD">
        <w:rPr>
          <w:rFonts w:asciiTheme="majorHAnsi" w:hAnsiTheme="majorHAnsi"/>
          <w:sz w:val="24"/>
          <w:szCs w:val="24"/>
        </w:rPr>
        <w:t xml:space="preserve">. </w:t>
      </w:r>
      <w:r w:rsidR="00CA24D9">
        <w:rPr>
          <w:rFonts w:asciiTheme="majorHAnsi" w:hAnsiTheme="majorHAnsi"/>
          <w:sz w:val="24"/>
          <w:szCs w:val="24"/>
        </w:rPr>
        <w:t>Elle</w:t>
      </w:r>
      <w:r w:rsidR="003F4FFE" w:rsidRPr="00324DCD">
        <w:rPr>
          <w:rFonts w:asciiTheme="majorHAnsi" w:hAnsiTheme="majorHAnsi"/>
          <w:sz w:val="24"/>
          <w:szCs w:val="24"/>
        </w:rPr>
        <w:t xml:space="preserve"> peut également </w:t>
      </w:r>
      <w:r w:rsidR="00281A68">
        <w:rPr>
          <w:rFonts w:asciiTheme="majorHAnsi" w:hAnsiTheme="majorHAnsi"/>
          <w:sz w:val="24"/>
          <w:szCs w:val="24"/>
        </w:rPr>
        <w:t>générer</w:t>
      </w:r>
      <w:r w:rsidR="00281A68" w:rsidRPr="00324DCD">
        <w:rPr>
          <w:rFonts w:asciiTheme="majorHAnsi" w:hAnsiTheme="majorHAnsi"/>
          <w:sz w:val="24"/>
          <w:szCs w:val="24"/>
        </w:rPr>
        <w:t xml:space="preserve"> </w:t>
      </w:r>
      <w:r w:rsidR="003F4FFE" w:rsidRPr="00281A68">
        <w:rPr>
          <w:rFonts w:asciiTheme="majorHAnsi" w:hAnsiTheme="majorHAnsi"/>
          <w:sz w:val="24"/>
          <w:szCs w:val="24"/>
        </w:rPr>
        <w:t>des entraves au droit</w:t>
      </w:r>
      <w:r w:rsidR="003F4FFE" w:rsidRPr="00324DCD">
        <w:rPr>
          <w:rFonts w:asciiTheme="majorHAnsi" w:hAnsiTheme="majorHAnsi"/>
          <w:sz w:val="24"/>
          <w:szCs w:val="24"/>
        </w:rPr>
        <w:t xml:space="preserve"> à l’information </w:t>
      </w:r>
      <w:r w:rsidR="00F525D6">
        <w:rPr>
          <w:rFonts w:asciiTheme="majorHAnsi" w:hAnsiTheme="majorHAnsi"/>
          <w:sz w:val="24"/>
          <w:szCs w:val="24"/>
        </w:rPr>
        <w:t xml:space="preserve">et à l’égalité de traitement </w:t>
      </w:r>
      <w:r w:rsidR="003F4FFE" w:rsidRPr="00324DCD">
        <w:rPr>
          <w:rFonts w:asciiTheme="majorHAnsi" w:hAnsiTheme="majorHAnsi"/>
          <w:sz w:val="24"/>
          <w:szCs w:val="24"/>
        </w:rPr>
        <w:t xml:space="preserve">des Etats membres et contrevenir à un principe d’accessibilité pour l’ensemble des parties prenantes, alors même que </w:t>
      </w:r>
      <w:r w:rsidR="005D4A10" w:rsidRPr="00324DCD">
        <w:rPr>
          <w:rFonts w:asciiTheme="majorHAnsi" w:hAnsiTheme="majorHAnsi"/>
          <w:sz w:val="24"/>
          <w:szCs w:val="24"/>
        </w:rPr>
        <w:t xml:space="preserve">ce projet de traité peut concerner des </w:t>
      </w:r>
      <w:r w:rsidR="00CA24D9">
        <w:rPr>
          <w:rFonts w:asciiTheme="majorHAnsi" w:hAnsiTheme="majorHAnsi"/>
          <w:sz w:val="24"/>
          <w:szCs w:val="24"/>
        </w:rPr>
        <w:t xml:space="preserve">très nombreux </w:t>
      </w:r>
      <w:r w:rsidR="005D4A10" w:rsidRPr="00324DCD">
        <w:rPr>
          <w:rFonts w:asciiTheme="majorHAnsi" w:hAnsiTheme="majorHAnsi"/>
          <w:sz w:val="24"/>
          <w:szCs w:val="24"/>
        </w:rPr>
        <w:t>acteurs (entreprises, syndicats, société civile et particuliers qui seraient victimes d’une violation émanant d’une entreprise).</w:t>
      </w:r>
      <w:r w:rsidR="002C744D" w:rsidRPr="00324DCD">
        <w:rPr>
          <w:rFonts w:asciiTheme="majorHAnsi" w:hAnsiTheme="majorHAnsi"/>
          <w:sz w:val="24"/>
          <w:szCs w:val="24"/>
        </w:rPr>
        <w:t xml:space="preserve"> </w:t>
      </w:r>
    </w:p>
    <w:p w14:paraId="3EF486C5" w14:textId="77777777" w:rsidR="00CA24D9" w:rsidRDefault="00CA24D9" w:rsidP="0018087A">
      <w:pPr>
        <w:pStyle w:val="ListParagraph"/>
        <w:ind w:left="0"/>
        <w:rPr>
          <w:rFonts w:asciiTheme="majorHAnsi" w:hAnsiTheme="majorHAnsi"/>
          <w:sz w:val="24"/>
          <w:szCs w:val="24"/>
        </w:rPr>
      </w:pPr>
    </w:p>
    <w:p w14:paraId="31BA09A3" w14:textId="77777777" w:rsidR="00CA24D9" w:rsidRPr="00324DCD" w:rsidRDefault="00CA24D9" w:rsidP="0018087A">
      <w:pPr>
        <w:pStyle w:val="ListParagraph"/>
        <w:ind w:left="0"/>
        <w:rPr>
          <w:rFonts w:asciiTheme="majorHAnsi" w:hAnsiTheme="majorHAnsi"/>
          <w:sz w:val="24"/>
          <w:szCs w:val="24"/>
        </w:rPr>
      </w:pPr>
    </w:p>
    <w:p w14:paraId="40B82090" w14:textId="77777777" w:rsidR="002761F4" w:rsidRDefault="002761F4" w:rsidP="00412C85">
      <w:pPr>
        <w:tabs>
          <w:tab w:val="left" w:pos="1352"/>
        </w:tabs>
        <w:ind w:left="0" w:firstLine="0"/>
        <w:rPr>
          <w:rFonts w:asciiTheme="majorHAnsi" w:hAnsiTheme="majorHAnsi"/>
          <w:sz w:val="24"/>
          <w:szCs w:val="24"/>
        </w:rPr>
      </w:pPr>
    </w:p>
    <w:p w14:paraId="72C5FD24" w14:textId="77777777" w:rsidR="002761F4" w:rsidRDefault="002761F4" w:rsidP="00412C85">
      <w:pPr>
        <w:tabs>
          <w:tab w:val="left" w:pos="1352"/>
        </w:tabs>
        <w:ind w:left="0" w:firstLine="0"/>
        <w:rPr>
          <w:rFonts w:asciiTheme="majorHAnsi" w:hAnsiTheme="majorHAnsi"/>
          <w:sz w:val="24"/>
          <w:szCs w:val="24"/>
        </w:rPr>
      </w:pPr>
    </w:p>
    <w:p w14:paraId="308D3D33" w14:textId="77777777" w:rsidR="002761F4" w:rsidRDefault="002761F4" w:rsidP="00412C85">
      <w:pPr>
        <w:tabs>
          <w:tab w:val="left" w:pos="1352"/>
        </w:tabs>
        <w:ind w:left="0" w:firstLine="0"/>
        <w:rPr>
          <w:rFonts w:asciiTheme="majorHAnsi" w:hAnsiTheme="majorHAnsi"/>
          <w:sz w:val="24"/>
          <w:szCs w:val="24"/>
        </w:rPr>
      </w:pPr>
    </w:p>
    <w:p w14:paraId="35718F64" w14:textId="77777777" w:rsidR="002761F4" w:rsidRDefault="002761F4" w:rsidP="00412C85">
      <w:pPr>
        <w:tabs>
          <w:tab w:val="left" w:pos="1352"/>
        </w:tabs>
        <w:ind w:left="0" w:firstLine="0"/>
        <w:rPr>
          <w:rFonts w:asciiTheme="majorHAnsi" w:hAnsiTheme="majorHAnsi"/>
          <w:sz w:val="24"/>
          <w:szCs w:val="24"/>
        </w:rPr>
      </w:pPr>
    </w:p>
    <w:p w14:paraId="6096BC34" w14:textId="0EC24AD6" w:rsidR="00405FBD" w:rsidRDefault="00695059" w:rsidP="00412C85">
      <w:pPr>
        <w:tabs>
          <w:tab w:val="left" w:pos="1352"/>
        </w:tabs>
        <w:ind w:left="0" w:firstLine="0"/>
        <w:rPr>
          <w:rFonts w:asciiTheme="majorHAnsi" w:hAnsiTheme="majorHAnsi" w:cs="Arial"/>
          <w:sz w:val="24"/>
          <w:szCs w:val="24"/>
        </w:rPr>
      </w:pPr>
      <w:r w:rsidRPr="00324DCD">
        <w:rPr>
          <w:rFonts w:asciiTheme="majorHAnsi" w:hAnsiTheme="majorHAnsi"/>
          <w:sz w:val="24"/>
          <w:szCs w:val="24"/>
        </w:rPr>
        <w:t>La CNCDH a</w:t>
      </w:r>
      <w:r w:rsidR="00405FBD" w:rsidRPr="00324DCD">
        <w:rPr>
          <w:rFonts w:asciiTheme="majorHAnsi" w:hAnsiTheme="majorHAnsi"/>
          <w:sz w:val="24"/>
          <w:szCs w:val="24"/>
        </w:rPr>
        <w:t xml:space="preserve"> souligné à plusieurs rep</w:t>
      </w:r>
      <w:r w:rsidR="00527B41" w:rsidRPr="00324DCD">
        <w:rPr>
          <w:rFonts w:asciiTheme="majorHAnsi" w:hAnsiTheme="majorHAnsi"/>
          <w:sz w:val="24"/>
          <w:szCs w:val="24"/>
        </w:rPr>
        <w:t xml:space="preserve">rises dans </w:t>
      </w:r>
      <w:r w:rsidR="00560AD8">
        <w:rPr>
          <w:rFonts w:asciiTheme="majorHAnsi" w:hAnsiTheme="majorHAnsi"/>
          <w:sz w:val="24"/>
          <w:szCs w:val="24"/>
        </w:rPr>
        <w:t>s</w:t>
      </w:r>
      <w:r w:rsidR="00527B41" w:rsidRPr="00324DCD">
        <w:rPr>
          <w:rFonts w:asciiTheme="majorHAnsi" w:hAnsiTheme="majorHAnsi"/>
          <w:sz w:val="24"/>
          <w:szCs w:val="24"/>
        </w:rPr>
        <w:t>es</w:t>
      </w:r>
      <w:r w:rsidR="002376E4" w:rsidRPr="00324DCD">
        <w:rPr>
          <w:rFonts w:asciiTheme="majorHAnsi" w:hAnsiTheme="majorHAnsi"/>
          <w:sz w:val="24"/>
          <w:szCs w:val="24"/>
        </w:rPr>
        <w:t xml:space="preserve"> travaux</w:t>
      </w:r>
      <w:r w:rsidR="008F544D">
        <w:rPr>
          <w:rFonts w:asciiTheme="majorHAnsi" w:hAnsiTheme="majorHAnsi"/>
          <w:sz w:val="24"/>
          <w:szCs w:val="24"/>
        </w:rPr>
        <w:t xml:space="preserve"> le manque de clarté,</w:t>
      </w:r>
      <w:r w:rsidR="00405FBD" w:rsidRPr="00324DCD">
        <w:rPr>
          <w:rFonts w:asciiTheme="majorHAnsi" w:hAnsiTheme="majorHAnsi"/>
          <w:sz w:val="24"/>
          <w:szCs w:val="24"/>
        </w:rPr>
        <w:t xml:space="preserve"> de </w:t>
      </w:r>
      <w:r w:rsidR="002376E4" w:rsidRPr="00324DCD">
        <w:rPr>
          <w:rFonts w:asciiTheme="majorHAnsi" w:hAnsiTheme="majorHAnsi"/>
          <w:sz w:val="24"/>
          <w:szCs w:val="24"/>
        </w:rPr>
        <w:t xml:space="preserve">lisibilité </w:t>
      </w:r>
      <w:r w:rsidR="00FD0757">
        <w:rPr>
          <w:rFonts w:asciiTheme="majorHAnsi" w:hAnsiTheme="majorHAnsi"/>
          <w:sz w:val="24"/>
          <w:szCs w:val="24"/>
        </w:rPr>
        <w:t xml:space="preserve">et de précision </w:t>
      </w:r>
      <w:r w:rsidR="00405FBD" w:rsidRPr="00324DCD">
        <w:rPr>
          <w:rFonts w:asciiTheme="majorHAnsi" w:hAnsiTheme="majorHAnsi"/>
          <w:sz w:val="24"/>
          <w:szCs w:val="24"/>
        </w:rPr>
        <w:t xml:space="preserve">de nombreuses dispositions du </w:t>
      </w:r>
      <w:r w:rsidR="002376E4" w:rsidRPr="00324DCD">
        <w:rPr>
          <w:rFonts w:asciiTheme="majorHAnsi" w:hAnsiTheme="majorHAnsi"/>
          <w:sz w:val="24"/>
          <w:szCs w:val="24"/>
        </w:rPr>
        <w:t xml:space="preserve">projet de </w:t>
      </w:r>
      <w:r w:rsidR="00FD0757">
        <w:rPr>
          <w:rFonts w:asciiTheme="majorHAnsi" w:hAnsiTheme="majorHAnsi"/>
          <w:sz w:val="24"/>
          <w:szCs w:val="24"/>
        </w:rPr>
        <w:t>traité</w:t>
      </w:r>
      <w:r w:rsidR="00405FBD" w:rsidRPr="00324DCD">
        <w:rPr>
          <w:rFonts w:asciiTheme="majorHAnsi" w:hAnsiTheme="majorHAnsi" w:cs="Arial"/>
          <w:sz w:val="24"/>
          <w:szCs w:val="24"/>
        </w:rPr>
        <w:t>,</w:t>
      </w:r>
      <w:r w:rsidR="006E429D" w:rsidRPr="00324DCD">
        <w:rPr>
          <w:rFonts w:asciiTheme="majorHAnsi" w:hAnsiTheme="majorHAnsi" w:cs="Arial"/>
          <w:sz w:val="24"/>
          <w:szCs w:val="24"/>
        </w:rPr>
        <w:t xml:space="preserve"> </w:t>
      </w:r>
      <w:r w:rsidR="00405FBD" w:rsidRPr="00324DCD">
        <w:rPr>
          <w:rFonts w:asciiTheme="majorHAnsi" w:hAnsiTheme="majorHAnsi" w:cs="Arial"/>
          <w:sz w:val="24"/>
          <w:szCs w:val="24"/>
        </w:rPr>
        <w:t>au détriment de</w:t>
      </w:r>
      <w:r w:rsidR="002376E4" w:rsidRPr="00324DCD">
        <w:rPr>
          <w:rFonts w:asciiTheme="majorHAnsi" w:hAnsiTheme="majorHAnsi" w:cs="Arial"/>
          <w:sz w:val="24"/>
          <w:szCs w:val="24"/>
        </w:rPr>
        <w:t xml:space="preserve"> la</w:t>
      </w:r>
      <w:r w:rsidR="00405FBD" w:rsidRPr="00324DCD">
        <w:rPr>
          <w:rFonts w:asciiTheme="majorHAnsi" w:hAnsiTheme="majorHAnsi" w:cs="Arial"/>
          <w:sz w:val="24"/>
          <w:szCs w:val="24"/>
        </w:rPr>
        <w:t xml:space="preserve"> </w:t>
      </w:r>
      <w:r w:rsidR="00E821C1" w:rsidRPr="00324DCD">
        <w:rPr>
          <w:rFonts w:asciiTheme="majorHAnsi" w:hAnsiTheme="majorHAnsi" w:cs="Arial"/>
          <w:sz w:val="24"/>
          <w:szCs w:val="24"/>
        </w:rPr>
        <w:t xml:space="preserve">cohérence </w:t>
      </w:r>
      <w:r w:rsidR="00560AD8">
        <w:rPr>
          <w:rFonts w:asciiTheme="majorHAnsi" w:hAnsiTheme="majorHAnsi" w:cs="Arial"/>
          <w:sz w:val="24"/>
          <w:szCs w:val="24"/>
        </w:rPr>
        <w:t xml:space="preserve">et </w:t>
      </w:r>
      <w:r w:rsidR="00E821C1" w:rsidRPr="00324DCD">
        <w:rPr>
          <w:rFonts w:asciiTheme="majorHAnsi" w:hAnsiTheme="majorHAnsi" w:cs="Arial"/>
          <w:sz w:val="24"/>
          <w:szCs w:val="24"/>
        </w:rPr>
        <w:t xml:space="preserve">de la </w:t>
      </w:r>
      <w:r w:rsidR="00405FBD" w:rsidRPr="00324DCD">
        <w:rPr>
          <w:rFonts w:asciiTheme="majorHAnsi" w:hAnsiTheme="majorHAnsi" w:cs="Arial"/>
          <w:sz w:val="24"/>
          <w:szCs w:val="24"/>
        </w:rPr>
        <w:t>sécurité juridique</w:t>
      </w:r>
      <w:r w:rsidR="00FD0757">
        <w:rPr>
          <w:rFonts w:asciiTheme="majorHAnsi" w:hAnsiTheme="majorHAnsi" w:cs="Arial"/>
          <w:sz w:val="24"/>
          <w:szCs w:val="24"/>
        </w:rPr>
        <w:t>,</w:t>
      </w:r>
      <w:r w:rsidR="00560AD8" w:rsidRPr="00560AD8">
        <w:rPr>
          <w:rFonts w:asciiTheme="majorHAnsi" w:hAnsiTheme="majorHAnsi" w:cs="Arial"/>
          <w:sz w:val="24"/>
          <w:szCs w:val="24"/>
        </w:rPr>
        <w:t xml:space="preserve"> </w:t>
      </w:r>
      <w:r w:rsidR="00560AD8">
        <w:rPr>
          <w:rFonts w:asciiTheme="majorHAnsi" w:hAnsiTheme="majorHAnsi" w:cs="Arial"/>
          <w:sz w:val="24"/>
          <w:szCs w:val="24"/>
        </w:rPr>
        <w:t xml:space="preserve">compromettant ainsi </w:t>
      </w:r>
      <w:r w:rsidR="00560AD8" w:rsidRPr="00324DCD">
        <w:rPr>
          <w:rFonts w:asciiTheme="majorHAnsi" w:hAnsiTheme="majorHAnsi" w:cs="Arial"/>
          <w:sz w:val="24"/>
          <w:szCs w:val="24"/>
        </w:rPr>
        <w:t>l</w:t>
      </w:r>
      <w:r w:rsidR="005D5AB3">
        <w:rPr>
          <w:rFonts w:asciiTheme="majorHAnsi" w:hAnsiTheme="majorHAnsi" w:cs="Arial"/>
          <w:sz w:val="24"/>
          <w:szCs w:val="24"/>
        </w:rPr>
        <w:t>’efficacité d’un tel instrument</w:t>
      </w:r>
      <w:r w:rsidR="00E821C1" w:rsidRPr="00324DCD">
        <w:rPr>
          <w:rFonts w:asciiTheme="majorHAnsi" w:hAnsiTheme="majorHAnsi" w:cs="Arial"/>
          <w:sz w:val="24"/>
          <w:szCs w:val="24"/>
        </w:rPr>
        <w:t>.</w:t>
      </w:r>
      <w:r w:rsidR="00560AD8">
        <w:rPr>
          <w:rFonts w:asciiTheme="majorHAnsi" w:hAnsiTheme="majorHAnsi" w:cs="Arial"/>
          <w:sz w:val="24"/>
          <w:szCs w:val="24"/>
        </w:rPr>
        <w:t xml:space="preserve"> Les développements qui suivent, sans être exhaustifs, énoncent</w:t>
      </w:r>
      <w:r w:rsidR="00FB1E79" w:rsidRPr="00324DCD">
        <w:rPr>
          <w:rFonts w:asciiTheme="majorHAnsi" w:hAnsiTheme="majorHAnsi" w:cs="Arial"/>
          <w:sz w:val="24"/>
          <w:szCs w:val="24"/>
        </w:rPr>
        <w:t xml:space="preserve"> </w:t>
      </w:r>
      <w:r w:rsidR="00D65BA2">
        <w:rPr>
          <w:rFonts w:asciiTheme="majorHAnsi" w:hAnsiTheme="majorHAnsi" w:cs="Arial"/>
          <w:sz w:val="24"/>
          <w:szCs w:val="24"/>
        </w:rPr>
        <w:t xml:space="preserve">quelques </w:t>
      </w:r>
      <w:r w:rsidR="00F525D6">
        <w:rPr>
          <w:rFonts w:asciiTheme="majorHAnsi" w:hAnsiTheme="majorHAnsi" w:cs="Arial"/>
          <w:sz w:val="24"/>
          <w:szCs w:val="24"/>
        </w:rPr>
        <w:t>observations préliminaires</w:t>
      </w:r>
      <w:r w:rsidR="00916552">
        <w:rPr>
          <w:rFonts w:asciiTheme="majorHAnsi" w:hAnsiTheme="majorHAnsi" w:cs="Arial"/>
          <w:sz w:val="24"/>
          <w:szCs w:val="24"/>
        </w:rPr>
        <w:t xml:space="preserve"> : </w:t>
      </w:r>
    </w:p>
    <w:p w14:paraId="11BEFEAB" w14:textId="77777777" w:rsidR="00CB6EF4" w:rsidRPr="00324DCD" w:rsidRDefault="00CB6EF4" w:rsidP="00CB6EF4">
      <w:pPr>
        <w:pStyle w:val="ListParagraph"/>
        <w:rPr>
          <w:rFonts w:asciiTheme="majorHAnsi" w:hAnsiTheme="majorHAnsi" w:cs="Arial"/>
          <w:sz w:val="24"/>
          <w:szCs w:val="24"/>
        </w:rPr>
      </w:pPr>
    </w:p>
    <w:p w14:paraId="673CAF8C" w14:textId="45D2211E" w:rsidR="00072B54" w:rsidRDefault="0026707E" w:rsidP="00281A68">
      <w:pPr>
        <w:pStyle w:val="ListParagraph"/>
        <w:numPr>
          <w:ilvl w:val="0"/>
          <w:numId w:val="10"/>
        </w:numPr>
        <w:ind w:left="851" w:hanging="284"/>
        <w:rPr>
          <w:rFonts w:asciiTheme="majorHAnsi" w:hAnsiTheme="majorHAnsi" w:cs="Arial"/>
          <w:sz w:val="24"/>
          <w:szCs w:val="24"/>
        </w:rPr>
      </w:pPr>
      <w:r w:rsidRPr="00072B54">
        <w:rPr>
          <w:rFonts w:asciiTheme="majorHAnsi" w:hAnsiTheme="majorHAnsi" w:cs="Arial"/>
          <w:sz w:val="24"/>
          <w:szCs w:val="24"/>
          <w:u w:val="single"/>
        </w:rPr>
        <w:t>Le champ d</w:t>
      </w:r>
      <w:r w:rsidR="009F6CC5" w:rsidRPr="00072B54">
        <w:rPr>
          <w:rFonts w:asciiTheme="majorHAnsi" w:hAnsiTheme="majorHAnsi" w:cs="Arial"/>
          <w:sz w:val="24"/>
          <w:szCs w:val="24"/>
          <w:u w:val="single"/>
        </w:rPr>
        <w:t>’application </w:t>
      </w:r>
      <w:r w:rsidR="00CB6EF4" w:rsidRPr="00072B54">
        <w:rPr>
          <w:rFonts w:asciiTheme="majorHAnsi" w:hAnsiTheme="majorHAnsi" w:cs="Arial"/>
          <w:sz w:val="24"/>
          <w:szCs w:val="24"/>
          <w:u w:val="single"/>
        </w:rPr>
        <w:t>du traité</w:t>
      </w:r>
      <w:r w:rsidRPr="00072B54">
        <w:rPr>
          <w:rFonts w:asciiTheme="majorHAnsi" w:hAnsiTheme="majorHAnsi" w:cs="Arial"/>
          <w:sz w:val="24"/>
          <w:szCs w:val="24"/>
          <w:u w:val="single"/>
        </w:rPr>
        <w:t xml:space="preserve"> </w:t>
      </w:r>
      <w:r w:rsidR="005537A9" w:rsidRPr="00072B54">
        <w:rPr>
          <w:rFonts w:asciiTheme="majorHAnsi" w:hAnsiTheme="majorHAnsi" w:cs="Arial"/>
          <w:sz w:val="24"/>
          <w:szCs w:val="24"/>
          <w:u w:val="single"/>
        </w:rPr>
        <w:t>et le titre doivent</w:t>
      </w:r>
      <w:r w:rsidRPr="00072B54">
        <w:rPr>
          <w:rFonts w:asciiTheme="majorHAnsi" w:hAnsiTheme="majorHAnsi" w:cs="Arial"/>
          <w:sz w:val="24"/>
          <w:szCs w:val="24"/>
          <w:u w:val="single"/>
        </w:rPr>
        <w:t xml:space="preserve"> être précisé</w:t>
      </w:r>
      <w:r w:rsidR="005537A9" w:rsidRPr="00072B54">
        <w:rPr>
          <w:rFonts w:asciiTheme="majorHAnsi" w:hAnsiTheme="majorHAnsi" w:cs="Arial"/>
          <w:sz w:val="24"/>
          <w:szCs w:val="24"/>
          <w:u w:val="single"/>
        </w:rPr>
        <w:t>s</w:t>
      </w:r>
      <w:r w:rsidR="00CB6EF4" w:rsidRPr="00072B54">
        <w:rPr>
          <w:rFonts w:asciiTheme="majorHAnsi" w:hAnsiTheme="majorHAnsi" w:cs="Arial"/>
          <w:sz w:val="24"/>
          <w:szCs w:val="24"/>
        </w:rPr>
        <w:t xml:space="preserve"> </w:t>
      </w:r>
      <w:r w:rsidR="009F6CC5" w:rsidRPr="00072B54">
        <w:rPr>
          <w:rFonts w:asciiTheme="majorHAnsi" w:hAnsiTheme="majorHAnsi" w:cs="Arial"/>
          <w:sz w:val="24"/>
          <w:szCs w:val="24"/>
        </w:rPr>
        <w:t xml:space="preserve">: </w:t>
      </w:r>
      <w:r w:rsidR="00E255D6">
        <w:rPr>
          <w:rFonts w:asciiTheme="majorHAnsi" w:hAnsiTheme="majorHAnsi" w:cs="Arial"/>
          <w:sz w:val="24"/>
          <w:szCs w:val="24"/>
        </w:rPr>
        <w:t>l</w:t>
      </w:r>
      <w:r w:rsidR="00695059" w:rsidRPr="00072B54">
        <w:rPr>
          <w:rFonts w:asciiTheme="majorHAnsi" w:hAnsiTheme="majorHAnsi" w:cs="Arial"/>
          <w:sz w:val="24"/>
          <w:szCs w:val="24"/>
        </w:rPr>
        <w:t xml:space="preserve">a CNCDH </w:t>
      </w:r>
      <w:r w:rsidR="00CB6EF4" w:rsidRPr="00DC5B53">
        <w:rPr>
          <w:rFonts w:asciiTheme="majorHAnsi" w:hAnsiTheme="majorHAnsi" w:cs="Arial"/>
          <w:sz w:val="24"/>
          <w:szCs w:val="24"/>
        </w:rPr>
        <w:t xml:space="preserve">souhaite </w:t>
      </w:r>
      <w:r w:rsidR="007A5B22" w:rsidRPr="00DC5B53">
        <w:rPr>
          <w:rFonts w:asciiTheme="majorHAnsi" w:hAnsiTheme="majorHAnsi" w:cs="Arial"/>
          <w:sz w:val="24"/>
          <w:szCs w:val="24"/>
        </w:rPr>
        <w:t xml:space="preserve">que le Groupe </w:t>
      </w:r>
      <w:r w:rsidR="00A07045" w:rsidRPr="00DC5B53">
        <w:rPr>
          <w:rFonts w:asciiTheme="majorHAnsi" w:hAnsiTheme="majorHAnsi" w:cs="Arial"/>
          <w:sz w:val="24"/>
          <w:szCs w:val="24"/>
        </w:rPr>
        <w:t>intergouvernemental</w:t>
      </w:r>
      <w:r w:rsidR="007A5B22" w:rsidRPr="00DC5B53">
        <w:rPr>
          <w:rFonts w:asciiTheme="majorHAnsi" w:hAnsiTheme="majorHAnsi" w:cs="Arial"/>
          <w:sz w:val="24"/>
          <w:szCs w:val="24"/>
        </w:rPr>
        <w:t xml:space="preserve"> clarifie l</w:t>
      </w:r>
      <w:r w:rsidR="00AE43A4" w:rsidRPr="00DC5B53">
        <w:rPr>
          <w:rFonts w:asciiTheme="majorHAnsi" w:hAnsiTheme="majorHAnsi" w:cs="Arial"/>
          <w:sz w:val="24"/>
          <w:szCs w:val="24"/>
        </w:rPr>
        <w:t xml:space="preserve">e périmètre des </w:t>
      </w:r>
      <w:r w:rsidR="00C76B62">
        <w:rPr>
          <w:rFonts w:asciiTheme="majorHAnsi" w:hAnsiTheme="majorHAnsi" w:cs="Arial"/>
          <w:sz w:val="24"/>
          <w:szCs w:val="24"/>
        </w:rPr>
        <w:t xml:space="preserve">acteurs et activités concernés </w:t>
      </w:r>
      <w:r w:rsidR="007A5B22" w:rsidRPr="00FC4BDC">
        <w:rPr>
          <w:rFonts w:asciiTheme="majorHAnsi" w:hAnsiTheme="majorHAnsi" w:cs="Arial"/>
          <w:sz w:val="24"/>
          <w:szCs w:val="24"/>
        </w:rPr>
        <w:t>par l’instrument</w:t>
      </w:r>
      <w:r w:rsidR="00072B54" w:rsidRPr="00072B54">
        <w:rPr>
          <w:rFonts w:asciiTheme="majorHAnsi" w:hAnsiTheme="majorHAnsi" w:cs="Arial"/>
          <w:sz w:val="24"/>
          <w:szCs w:val="24"/>
        </w:rPr>
        <w:t xml:space="preserve">, afin de s’assurer </w:t>
      </w:r>
      <w:r w:rsidR="00C76B62">
        <w:rPr>
          <w:rFonts w:asciiTheme="majorHAnsi" w:hAnsiTheme="majorHAnsi" w:cs="Arial"/>
          <w:sz w:val="24"/>
          <w:szCs w:val="24"/>
        </w:rPr>
        <w:t>de son effectivité</w:t>
      </w:r>
      <w:r w:rsidR="00A07045" w:rsidRPr="00072B54">
        <w:rPr>
          <w:rFonts w:asciiTheme="majorHAnsi" w:hAnsiTheme="majorHAnsi" w:cs="Arial"/>
          <w:sz w:val="24"/>
          <w:szCs w:val="24"/>
        </w:rPr>
        <w:t xml:space="preserve">. </w:t>
      </w:r>
    </w:p>
    <w:p w14:paraId="6E8D4CF7" w14:textId="77777777" w:rsidR="00A679EB" w:rsidRPr="00072B54" w:rsidRDefault="00A679EB" w:rsidP="00072B54">
      <w:pPr>
        <w:pStyle w:val="ListParagraph"/>
        <w:ind w:left="851"/>
        <w:rPr>
          <w:rFonts w:asciiTheme="majorHAnsi" w:hAnsiTheme="majorHAnsi" w:cs="Arial"/>
          <w:sz w:val="24"/>
          <w:szCs w:val="24"/>
        </w:rPr>
      </w:pPr>
    </w:p>
    <w:p w14:paraId="3DCE8F00" w14:textId="48F9E026" w:rsidR="003E2C24" w:rsidRPr="00324DCD" w:rsidRDefault="00CB6EF4" w:rsidP="003E2C24">
      <w:pPr>
        <w:pStyle w:val="ListParagraph"/>
        <w:numPr>
          <w:ilvl w:val="0"/>
          <w:numId w:val="10"/>
        </w:numPr>
        <w:ind w:left="851" w:hanging="284"/>
        <w:rPr>
          <w:rFonts w:asciiTheme="majorHAnsi" w:hAnsiTheme="majorHAnsi" w:cs="Arial"/>
          <w:sz w:val="24"/>
          <w:szCs w:val="24"/>
        </w:rPr>
      </w:pPr>
      <w:r w:rsidRPr="00324DCD">
        <w:rPr>
          <w:rFonts w:asciiTheme="majorHAnsi" w:hAnsiTheme="majorHAnsi" w:cs="Arial"/>
          <w:sz w:val="24"/>
          <w:szCs w:val="24"/>
          <w:u w:val="single"/>
        </w:rPr>
        <w:t xml:space="preserve">Sur </w:t>
      </w:r>
      <w:r w:rsidR="007A5B22" w:rsidRPr="00324DCD">
        <w:rPr>
          <w:rFonts w:asciiTheme="majorHAnsi" w:hAnsiTheme="majorHAnsi" w:cs="Arial"/>
          <w:sz w:val="24"/>
          <w:szCs w:val="24"/>
          <w:u w:val="single"/>
        </w:rPr>
        <w:t>la nature et l’articulation des</w:t>
      </w:r>
      <w:r w:rsidRPr="00324DCD">
        <w:rPr>
          <w:rFonts w:asciiTheme="majorHAnsi" w:hAnsiTheme="majorHAnsi" w:cs="Arial"/>
          <w:sz w:val="24"/>
          <w:szCs w:val="24"/>
          <w:u w:val="single"/>
        </w:rPr>
        <w:t xml:space="preserve"> responsabilités</w:t>
      </w:r>
      <w:r w:rsidRPr="00324DCD">
        <w:rPr>
          <w:rFonts w:asciiTheme="majorHAnsi" w:hAnsiTheme="majorHAnsi" w:cs="Arial"/>
          <w:sz w:val="24"/>
          <w:szCs w:val="24"/>
        </w:rPr>
        <w:t xml:space="preserve"> </w:t>
      </w:r>
      <w:r w:rsidR="002A47F5" w:rsidRPr="00324DCD">
        <w:rPr>
          <w:rFonts w:asciiTheme="majorHAnsi" w:hAnsiTheme="majorHAnsi" w:cs="Arial"/>
          <w:sz w:val="24"/>
          <w:szCs w:val="24"/>
        </w:rPr>
        <w:t>(Article 1</w:t>
      </w:r>
      <w:r w:rsidR="002A47F5" w:rsidRPr="00324DCD">
        <w:rPr>
          <w:rFonts w:asciiTheme="majorHAnsi" w:hAnsiTheme="majorHAnsi" w:cs="Arial"/>
          <w:sz w:val="24"/>
          <w:szCs w:val="24"/>
          <w:vertAlign w:val="superscript"/>
        </w:rPr>
        <w:t>er</w:t>
      </w:r>
      <w:r w:rsidR="002A47F5" w:rsidRPr="00324DCD">
        <w:rPr>
          <w:rFonts w:asciiTheme="majorHAnsi" w:hAnsiTheme="majorHAnsi" w:cs="Arial"/>
          <w:sz w:val="24"/>
          <w:szCs w:val="24"/>
        </w:rPr>
        <w:t xml:space="preserve">) </w:t>
      </w:r>
      <w:r w:rsidRPr="00324DCD">
        <w:rPr>
          <w:rFonts w:asciiTheme="majorHAnsi" w:hAnsiTheme="majorHAnsi" w:cs="Arial"/>
          <w:sz w:val="24"/>
          <w:szCs w:val="24"/>
        </w:rPr>
        <w:t xml:space="preserve">: </w:t>
      </w:r>
      <w:r w:rsidR="00E255D6">
        <w:rPr>
          <w:rFonts w:asciiTheme="majorHAnsi" w:hAnsiTheme="majorHAnsi" w:cs="Arial"/>
          <w:sz w:val="24"/>
          <w:szCs w:val="24"/>
        </w:rPr>
        <w:t>c</w:t>
      </w:r>
      <w:r w:rsidR="002A47F5" w:rsidRPr="00324DCD">
        <w:rPr>
          <w:rFonts w:asciiTheme="majorHAnsi" w:hAnsiTheme="majorHAnsi" w:cs="Arial"/>
          <w:sz w:val="24"/>
          <w:szCs w:val="24"/>
        </w:rPr>
        <w:t xml:space="preserve">onformément au droit international des droits de l’homme, </w:t>
      </w:r>
      <w:r w:rsidRPr="00324DCD">
        <w:rPr>
          <w:rFonts w:asciiTheme="majorHAnsi" w:hAnsiTheme="majorHAnsi" w:cs="Arial"/>
          <w:sz w:val="24"/>
          <w:szCs w:val="24"/>
        </w:rPr>
        <w:t>l</w:t>
      </w:r>
      <w:r w:rsidR="00695059" w:rsidRPr="00324DCD">
        <w:rPr>
          <w:rFonts w:asciiTheme="majorHAnsi" w:hAnsiTheme="majorHAnsi" w:cs="Arial"/>
          <w:sz w:val="24"/>
          <w:szCs w:val="24"/>
        </w:rPr>
        <w:t>a CNCDH souhaite</w:t>
      </w:r>
      <w:r w:rsidR="00D75173">
        <w:rPr>
          <w:rFonts w:asciiTheme="majorHAnsi" w:hAnsiTheme="majorHAnsi" w:cs="Arial"/>
          <w:sz w:val="24"/>
          <w:szCs w:val="24"/>
        </w:rPr>
        <w:t xml:space="preserve"> </w:t>
      </w:r>
      <w:r w:rsidRPr="00324DCD">
        <w:rPr>
          <w:rFonts w:asciiTheme="majorHAnsi" w:hAnsiTheme="majorHAnsi" w:cs="Arial"/>
          <w:sz w:val="24"/>
          <w:szCs w:val="24"/>
        </w:rPr>
        <w:t xml:space="preserve">que </w:t>
      </w:r>
      <w:r w:rsidR="00E400FA" w:rsidRPr="00324DCD">
        <w:rPr>
          <w:rFonts w:asciiTheme="majorHAnsi" w:hAnsiTheme="majorHAnsi" w:cs="Arial"/>
          <w:sz w:val="24"/>
          <w:szCs w:val="24"/>
        </w:rPr>
        <w:t>l’</w:t>
      </w:r>
      <w:r w:rsidR="00957D6B" w:rsidRPr="00324DCD">
        <w:rPr>
          <w:rFonts w:asciiTheme="majorHAnsi" w:hAnsiTheme="majorHAnsi" w:cs="Arial"/>
          <w:sz w:val="24"/>
          <w:szCs w:val="24"/>
        </w:rPr>
        <w:t xml:space="preserve">articulation entre les responsabilités </w:t>
      </w:r>
      <w:r w:rsidR="00232992">
        <w:rPr>
          <w:rFonts w:asciiTheme="majorHAnsi" w:hAnsiTheme="majorHAnsi" w:cs="Arial"/>
          <w:sz w:val="24"/>
          <w:szCs w:val="24"/>
        </w:rPr>
        <w:t xml:space="preserve">et obligations </w:t>
      </w:r>
      <w:r w:rsidR="00957D6B" w:rsidRPr="00324DCD">
        <w:rPr>
          <w:rFonts w:asciiTheme="majorHAnsi" w:hAnsiTheme="majorHAnsi" w:cs="Arial"/>
          <w:sz w:val="24"/>
          <w:szCs w:val="24"/>
        </w:rPr>
        <w:t xml:space="preserve">des Etats et des entreprises </w:t>
      </w:r>
      <w:r w:rsidR="00D75173">
        <w:rPr>
          <w:rFonts w:asciiTheme="majorHAnsi" w:hAnsiTheme="majorHAnsi" w:cs="Arial"/>
          <w:sz w:val="24"/>
          <w:szCs w:val="24"/>
        </w:rPr>
        <w:t>soit</w:t>
      </w:r>
      <w:r w:rsidR="00957D6B" w:rsidRPr="00324DCD">
        <w:rPr>
          <w:rFonts w:asciiTheme="majorHAnsi" w:hAnsiTheme="majorHAnsi" w:cs="Arial"/>
          <w:sz w:val="24"/>
          <w:szCs w:val="24"/>
        </w:rPr>
        <w:t xml:space="preserve"> précisée et contextualisée.</w:t>
      </w:r>
    </w:p>
    <w:p w14:paraId="3850C2CD" w14:textId="77777777" w:rsidR="005C3052" w:rsidRPr="00324DCD" w:rsidRDefault="005C3052" w:rsidP="003E2C24">
      <w:pPr>
        <w:pStyle w:val="ListParagraph"/>
        <w:ind w:left="851"/>
        <w:rPr>
          <w:rFonts w:asciiTheme="majorHAnsi" w:hAnsiTheme="majorHAnsi" w:cs="Arial"/>
          <w:sz w:val="24"/>
          <w:szCs w:val="24"/>
        </w:rPr>
      </w:pPr>
    </w:p>
    <w:p w14:paraId="0D4DF71C" w14:textId="74FEF13B" w:rsidR="00332E5E" w:rsidRPr="00342EF7" w:rsidRDefault="00957D6B" w:rsidP="00342EF7">
      <w:pPr>
        <w:pStyle w:val="ListParagraph"/>
        <w:numPr>
          <w:ilvl w:val="0"/>
          <w:numId w:val="10"/>
        </w:numPr>
        <w:ind w:left="851" w:hanging="284"/>
        <w:rPr>
          <w:rFonts w:asciiTheme="majorHAnsi" w:hAnsiTheme="majorHAnsi" w:cs="Arial"/>
          <w:sz w:val="24"/>
          <w:szCs w:val="24"/>
        </w:rPr>
      </w:pPr>
      <w:r w:rsidRPr="00324DCD">
        <w:rPr>
          <w:rFonts w:asciiTheme="majorHAnsi" w:hAnsiTheme="majorHAnsi" w:cs="Arial"/>
          <w:sz w:val="24"/>
          <w:szCs w:val="24"/>
          <w:u w:val="single"/>
        </w:rPr>
        <w:t>Article 5 sur la compétence juridictionnelle et article 7 sur le droit applicable</w:t>
      </w:r>
      <w:r w:rsidR="00E83D14">
        <w:rPr>
          <w:rFonts w:asciiTheme="majorHAnsi" w:hAnsiTheme="majorHAnsi" w:cs="Arial"/>
          <w:sz w:val="24"/>
          <w:szCs w:val="24"/>
        </w:rPr>
        <w:t xml:space="preserve"> : </w:t>
      </w:r>
      <w:r w:rsidR="00E255D6">
        <w:rPr>
          <w:rFonts w:asciiTheme="majorHAnsi" w:hAnsiTheme="majorHAnsi" w:cs="Arial"/>
          <w:sz w:val="24"/>
          <w:szCs w:val="24"/>
        </w:rPr>
        <w:t>l</w:t>
      </w:r>
      <w:r w:rsidRPr="00324DCD">
        <w:rPr>
          <w:rFonts w:asciiTheme="majorHAnsi" w:hAnsiTheme="majorHAnsi" w:cs="Arial"/>
          <w:sz w:val="24"/>
          <w:szCs w:val="24"/>
        </w:rPr>
        <w:t xml:space="preserve">es dispositions ainsi rédigées semblent </w:t>
      </w:r>
      <w:r w:rsidR="003E2C24" w:rsidRPr="00324DCD">
        <w:rPr>
          <w:rFonts w:asciiTheme="majorHAnsi" w:hAnsiTheme="majorHAnsi" w:cs="Arial"/>
          <w:sz w:val="24"/>
          <w:szCs w:val="24"/>
        </w:rPr>
        <w:t>sous-évaluer</w:t>
      </w:r>
      <w:r w:rsidRPr="00324DCD">
        <w:rPr>
          <w:rFonts w:asciiTheme="majorHAnsi" w:hAnsiTheme="majorHAnsi" w:cs="Arial"/>
          <w:sz w:val="24"/>
          <w:szCs w:val="24"/>
        </w:rPr>
        <w:t xml:space="preserve"> les problèmes de conflits de loi et de juridiction qui pourraient se poser en application de ces deux articles.</w:t>
      </w:r>
      <w:r w:rsidR="004154E9">
        <w:rPr>
          <w:rFonts w:asciiTheme="majorHAnsi" w:hAnsiTheme="majorHAnsi" w:cs="Arial"/>
          <w:sz w:val="24"/>
          <w:szCs w:val="24"/>
        </w:rPr>
        <w:t xml:space="preserve"> Il est nécessaire d</w:t>
      </w:r>
      <w:r w:rsidR="008F544D">
        <w:rPr>
          <w:rFonts w:asciiTheme="majorHAnsi" w:hAnsiTheme="majorHAnsi" w:cs="Arial"/>
          <w:sz w:val="24"/>
          <w:szCs w:val="24"/>
        </w:rPr>
        <w:t>’</w:t>
      </w:r>
      <w:r w:rsidR="004154E9">
        <w:rPr>
          <w:rFonts w:asciiTheme="majorHAnsi" w:hAnsiTheme="majorHAnsi" w:cs="Arial"/>
          <w:sz w:val="24"/>
          <w:szCs w:val="24"/>
        </w:rPr>
        <w:t>e</w:t>
      </w:r>
      <w:r w:rsidR="008F544D">
        <w:rPr>
          <w:rFonts w:asciiTheme="majorHAnsi" w:hAnsiTheme="majorHAnsi" w:cs="Arial"/>
          <w:sz w:val="24"/>
          <w:szCs w:val="24"/>
        </w:rPr>
        <w:t>n</w:t>
      </w:r>
      <w:r w:rsidR="004154E9">
        <w:rPr>
          <w:rFonts w:asciiTheme="majorHAnsi" w:hAnsiTheme="majorHAnsi" w:cs="Arial"/>
          <w:sz w:val="24"/>
          <w:szCs w:val="24"/>
        </w:rPr>
        <w:t xml:space="preserve"> clarifier et préciser la rédaction,</w:t>
      </w:r>
      <w:r w:rsidR="00262CA4" w:rsidRPr="00324DCD">
        <w:rPr>
          <w:rFonts w:asciiTheme="majorHAnsi" w:hAnsiTheme="majorHAnsi" w:cs="Arial"/>
          <w:sz w:val="24"/>
          <w:szCs w:val="24"/>
        </w:rPr>
        <w:t xml:space="preserve"> et ce, </w:t>
      </w:r>
      <w:r w:rsidR="003E2C24" w:rsidRPr="00324DCD">
        <w:rPr>
          <w:rFonts w:asciiTheme="majorHAnsi" w:hAnsiTheme="majorHAnsi" w:cs="Arial"/>
          <w:sz w:val="24"/>
          <w:szCs w:val="24"/>
        </w:rPr>
        <w:t>a</w:t>
      </w:r>
      <w:r w:rsidRPr="00324DCD">
        <w:rPr>
          <w:rFonts w:asciiTheme="majorHAnsi" w:hAnsiTheme="majorHAnsi" w:cs="Arial"/>
          <w:sz w:val="24"/>
          <w:szCs w:val="24"/>
        </w:rPr>
        <w:t xml:space="preserve">fin </w:t>
      </w:r>
      <w:r w:rsidR="00F36A67" w:rsidRPr="00324DCD">
        <w:rPr>
          <w:rFonts w:asciiTheme="majorHAnsi" w:hAnsiTheme="majorHAnsi" w:cs="Arial"/>
          <w:sz w:val="24"/>
          <w:szCs w:val="24"/>
        </w:rPr>
        <w:t>de se prém</w:t>
      </w:r>
      <w:r w:rsidR="00342EF7">
        <w:rPr>
          <w:rFonts w:asciiTheme="majorHAnsi" w:hAnsiTheme="majorHAnsi" w:cs="Arial"/>
          <w:sz w:val="24"/>
          <w:szCs w:val="24"/>
        </w:rPr>
        <w:t xml:space="preserve">unir contre tout déni de justice, </w:t>
      </w:r>
      <w:r w:rsidR="00262CA4" w:rsidRPr="00342EF7">
        <w:rPr>
          <w:rFonts w:asciiTheme="majorHAnsi" w:hAnsiTheme="majorHAnsi" w:cs="Arial"/>
          <w:sz w:val="24"/>
          <w:szCs w:val="24"/>
        </w:rPr>
        <w:t>d’</w:t>
      </w:r>
      <w:r w:rsidRPr="00342EF7">
        <w:rPr>
          <w:rFonts w:asciiTheme="majorHAnsi" w:hAnsiTheme="majorHAnsi" w:cs="Arial"/>
          <w:sz w:val="24"/>
          <w:szCs w:val="24"/>
        </w:rPr>
        <w:t>assurer une mobilisation efficace et une sécu</w:t>
      </w:r>
      <w:r w:rsidR="003E2C24" w:rsidRPr="00342EF7">
        <w:rPr>
          <w:rFonts w:asciiTheme="majorHAnsi" w:hAnsiTheme="majorHAnsi" w:cs="Arial"/>
          <w:sz w:val="24"/>
          <w:szCs w:val="24"/>
        </w:rPr>
        <w:t xml:space="preserve">rité juridique aux justiciables. </w:t>
      </w:r>
      <w:r w:rsidR="00072B54" w:rsidRPr="00342EF7">
        <w:rPr>
          <w:rFonts w:asciiTheme="majorHAnsi" w:hAnsiTheme="majorHAnsi" w:cs="Arial"/>
          <w:sz w:val="24"/>
          <w:szCs w:val="24"/>
        </w:rPr>
        <w:t>L</w:t>
      </w:r>
      <w:r w:rsidR="00B74032" w:rsidRPr="00342EF7">
        <w:rPr>
          <w:rFonts w:asciiTheme="majorHAnsi" w:hAnsiTheme="majorHAnsi" w:cs="Arial"/>
          <w:sz w:val="24"/>
          <w:szCs w:val="24"/>
        </w:rPr>
        <w:t xml:space="preserve">a CNCDH </w:t>
      </w:r>
      <w:r w:rsidR="0037561B" w:rsidRPr="00342EF7">
        <w:rPr>
          <w:rFonts w:asciiTheme="majorHAnsi" w:hAnsiTheme="majorHAnsi" w:cs="Arial"/>
          <w:sz w:val="24"/>
          <w:szCs w:val="24"/>
        </w:rPr>
        <w:t>s’était déjà préoccupée</w:t>
      </w:r>
      <w:r w:rsidR="00072B54" w:rsidRPr="00342EF7">
        <w:rPr>
          <w:rFonts w:asciiTheme="majorHAnsi" w:hAnsiTheme="majorHAnsi" w:cs="Arial"/>
          <w:sz w:val="24"/>
          <w:szCs w:val="24"/>
        </w:rPr>
        <w:t xml:space="preserve"> du risque de déni de justice</w:t>
      </w:r>
      <w:r w:rsidR="00B74032" w:rsidRPr="00342EF7">
        <w:rPr>
          <w:rFonts w:asciiTheme="majorHAnsi" w:hAnsiTheme="majorHAnsi" w:cs="Arial"/>
          <w:sz w:val="24"/>
          <w:szCs w:val="24"/>
        </w:rPr>
        <w:t xml:space="preserve"> dans </w:t>
      </w:r>
      <w:r w:rsidR="002761F4" w:rsidRPr="00342EF7">
        <w:rPr>
          <w:rFonts w:asciiTheme="majorHAnsi" w:hAnsiTheme="majorHAnsi" w:cs="Arial"/>
          <w:sz w:val="24"/>
          <w:szCs w:val="24"/>
        </w:rPr>
        <w:t>son</w:t>
      </w:r>
      <w:r w:rsidR="00B74032" w:rsidRPr="00342EF7">
        <w:rPr>
          <w:rFonts w:asciiTheme="majorHAnsi" w:hAnsiTheme="majorHAnsi" w:cs="Arial"/>
          <w:sz w:val="24"/>
          <w:szCs w:val="24"/>
        </w:rPr>
        <w:t xml:space="preserve"> avis de 2013</w:t>
      </w:r>
      <w:r w:rsidR="00B74032" w:rsidRPr="00324DCD">
        <w:rPr>
          <w:rStyle w:val="FootnoteReference"/>
          <w:rFonts w:asciiTheme="majorHAnsi" w:hAnsiTheme="majorHAnsi" w:cs="Arial"/>
          <w:sz w:val="24"/>
          <w:szCs w:val="24"/>
        </w:rPr>
        <w:footnoteReference w:id="7"/>
      </w:r>
      <w:r w:rsidR="0037561B" w:rsidRPr="00342EF7">
        <w:rPr>
          <w:rFonts w:asciiTheme="majorHAnsi" w:hAnsiTheme="majorHAnsi" w:cs="Arial"/>
          <w:sz w:val="24"/>
          <w:szCs w:val="24"/>
        </w:rPr>
        <w:t xml:space="preserve"> et avait</w:t>
      </w:r>
      <w:r w:rsidR="00E255D6">
        <w:rPr>
          <w:rFonts w:asciiTheme="majorHAnsi" w:hAnsiTheme="majorHAnsi" w:cs="Arial"/>
          <w:sz w:val="24"/>
          <w:szCs w:val="24"/>
        </w:rPr>
        <w:t xml:space="preserve"> alors</w:t>
      </w:r>
      <w:r w:rsidR="0037561B" w:rsidRPr="00342EF7">
        <w:rPr>
          <w:rFonts w:asciiTheme="majorHAnsi" w:hAnsiTheme="majorHAnsi" w:cs="Arial"/>
          <w:sz w:val="24"/>
          <w:szCs w:val="24"/>
        </w:rPr>
        <w:t xml:space="preserve"> formulé</w:t>
      </w:r>
      <w:r w:rsidR="00072B54" w:rsidRPr="00342EF7">
        <w:rPr>
          <w:rFonts w:asciiTheme="majorHAnsi" w:hAnsiTheme="majorHAnsi" w:cs="Arial"/>
          <w:sz w:val="24"/>
          <w:szCs w:val="24"/>
        </w:rPr>
        <w:t xml:space="preserve"> </w:t>
      </w:r>
      <w:r w:rsidR="0037561B" w:rsidRPr="00342EF7">
        <w:rPr>
          <w:rFonts w:asciiTheme="majorHAnsi" w:hAnsiTheme="majorHAnsi" w:cs="Arial"/>
          <w:sz w:val="24"/>
          <w:szCs w:val="24"/>
        </w:rPr>
        <w:t>des recommandations à l’</w:t>
      </w:r>
      <w:r w:rsidR="00E255D6">
        <w:rPr>
          <w:rFonts w:asciiTheme="majorHAnsi" w:hAnsiTheme="majorHAnsi" w:cs="Arial"/>
          <w:sz w:val="24"/>
          <w:szCs w:val="24"/>
        </w:rPr>
        <w:t>attention</w:t>
      </w:r>
      <w:r w:rsidR="0037561B" w:rsidRPr="00342EF7">
        <w:rPr>
          <w:rFonts w:asciiTheme="majorHAnsi" w:hAnsiTheme="majorHAnsi" w:cs="Arial"/>
          <w:sz w:val="24"/>
          <w:szCs w:val="24"/>
        </w:rPr>
        <w:t xml:space="preserve"> d</w:t>
      </w:r>
      <w:r w:rsidR="00332E5E" w:rsidRPr="00342EF7">
        <w:rPr>
          <w:rFonts w:asciiTheme="majorHAnsi" w:hAnsiTheme="majorHAnsi" w:cs="Arial"/>
          <w:sz w:val="24"/>
          <w:szCs w:val="24"/>
        </w:rPr>
        <w:t xml:space="preserve">u gouvernement. </w:t>
      </w:r>
    </w:p>
    <w:p w14:paraId="030DAF56" w14:textId="77777777" w:rsidR="00372F65" w:rsidRPr="00324DCD" w:rsidRDefault="00372F65" w:rsidP="00957D6B">
      <w:pPr>
        <w:pStyle w:val="ListParagraph"/>
        <w:ind w:left="851"/>
        <w:rPr>
          <w:rFonts w:asciiTheme="majorHAnsi" w:hAnsiTheme="majorHAnsi" w:cs="Arial"/>
          <w:sz w:val="24"/>
          <w:szCs w:val="24"/>
        </w:rPr>
      </w:pPr>
    </w:p>
    <w:p w14:paraId="2284403C" w14:textId="7FABA507" w:rsidR="002761F4" w:rsidRPr="004154E9" w:rsidRDefault="006E429D" w:rsidP="002761F4">
      <w:pPr>
        <w:pStyle w:val="ListParagraph"/>
        <w:numPr>
          <w:ilvl w:val="0"/>
          <w:numId w:val="10"/>
        </w:numPr>
        <w:ind w:left="851" w:hanging="284"/>
        <w:rPr>
          <w:rFonts w:asciiTheme="majorHAnsi" w:hAnsiTheme="majorHAnsi" w:cs="Arial"/>
          <w:sz w:val="24"/>
          <w:szCs w:val="24"/>
          <w:u w:val="single"/>
        </w:rPr>
      </w:pPr>
      <w:r w:rsidRPr="004154E9">
        <w:rPr>
          <w:rFonts w:asciiTheme="majorHAnsi" w:hAnsiTheme="majorHAnsi" w:cs="Arial"/>
          <w:sz w:val="24"/>
          <w:szCs w:val="24"/>
          <w:u w:val="single"/>
        </w:rPr>
        <w:t>Article</w:t>
      </w:r>
      <w:r w:rsidR="001046CF" w:rsidRPr="004154E9">
        <w:rPr>
          <w:rFonts w:asciiTheme="majorHAnsi" w:hAnsiTheme="majorHAnsi" w:cs="Arial"/>
          <w:sz w:val="24"/>
          <w:szCs w:val="24"/>
          <w:u w:val="single"/>
        </w:rPr>
        <w:t xml:space="preserve"> </w:t>
      </w:r>
      <w:r w:rsidR="00405FBD" w:rsidRPr="004154E9">
        <w:rPr>
          <w:rFonts w:asciiTheme="majorHAnsi" w:hAnsiTheme="majorHAnsi" w:cs="Arial"/>
          <w:sz w:val="24"/>
          <w:szCs w:val="24"/>
          <w:u w:val="single"/>
        </w:rPr>
        <w:t>6 sur le délai de prescription</w:t>
      </w:r>
      <w:r w:rsidR="00AD42BF" w:rsidRPr="004154E9">
        <w:rPr>
          <w:rFonts w:asciiTheme="majorHAnsi" w:hAnsiTheme="majorHAnsi" w:cs="Arial"/>
          <w:sz w:val="24"/>
          <w:szCs w:val="24"/>
        </w:rPr>
        <w:t xml:space="preserve"> : </w:t>
      </w:r>
      <w:r w:rsidR="00E255D6" w:rsidRPr="004154E9">
        <w:rPr>
          <w:rFonts w:asciiTheme="majorHAnsi" w:hAnsiTheme="majorHAnsi" w:cs="Arial"/>
          <w:sz w:val="24"/>
          <w:szCs w:val="24"/>
        </w:rPr>
        <w:t>l</w:t>
      </w:r>
      <w:r w:rsidR="00695059" w:rsidRPr="004154E9">
        <w:rPr>
          <w:rFonts w:asciiTheme="majorHAnsi" w:hAnsiTheme="majorHAnsi" w:cs="Arial"/>
          <w:sz w:val="24"/>
          <w:szCs w:val="24"/>
        </w:rPr>
        <w:t>a CNCDH invite</w:t>
      </w:r>
      <w:r w:rsidR="00CB6EF4" w:rsidRPr="004154E9">
        <w:rPr>
          <w:rFonts w:asciiTheme="majorHAnsi" w:hAnsiTheme="majorHAnsi" w:cs="Arial"/>
          <w:sz w:val="24"/>
          <w:szCs w:val="24"/>
        </w:rPr>
        <w:t xml:space="preserve"> le Groupe intergouvernemental à reformuler cet article en y apportant plus de précisions</w:t>
      </w:r>
      <w:r w:rsidR="004154E9" w:rsidRPr="004154E9">
        <w:rPr>
          <w:rFonts w:asciiTheme="majorHAnsi" w:hAnsiTheme="majorHAnsi" w:cs="Arial"/>
          <w:sz w:val="24"/>
          <w:szCs w:val="24"/>
        </w:rPr>
        <w:t xml:space="preserve"> sur les violations visées</w:t>
      </w:r>
      <w:r w:rsidR="00CB6EF4" w:rsidRPr="004154E9">
        <w:rPr>
          <w:rFonts w:asciiTheme="majorHAnsi" w:hAnsiTheme="majorHAnsi" w:cs="Arial"/>
          <w:sz w:val="24"/>
          <w:szCs w:val="24"/>
        </w:rPr>
        <w:t>.</w:t>
      </w:r>
      <w:r w:rsidR="00FB1E79" w:rsidRPr="004154E9">
        <w:rPr>
          <w:rFonts w:asciiTheme="majorHAnsi" w:hAnsiTheme="majorHAnsi" w:cs="Arial"/>
          <w:sz w:val="24"/>
          <w:szCs w:val="24"/>
        </w:rPr>
        <w:t xml:space="preserve"> </w:t>
      </w:r>
      <w:r w:rsidR="00F36A67" w:rsidRPr="004154E9">
        <w:rPr>
          <w:rFonts w:asciiTheme="majorHAnsi" w:hAnsiTheme="majorHAnsi" w:cs="Arial"/>
          <w:sz w:val="24"/>
          <w:szCs w:val="24"/>
        </w:rPr>
        <w:t>En effet, il est e</w:t>
      </w:r>
      <w:r w:rsidR="00FB1E79" w:rsidRPr="004154E9">
        <w:rPr>
          <w:rFonts w:asciiTheme="majorHAnsi" w:hAnsiTheme="majorHAnsi" w:cs="Arial"/>
          <w:sz w:val="24"/>
          <w:szCs w:val="24"/>
        </w:rPr>
        <w:t xml:space="preserve">ssentiel pour la mise en œuvre </w:t>
      </w:r>
      <w:r w:rsidR="00F36A67" w:rsidRPr="004154E9">
        <w:rPr>
          <w:rFonts w:asciiTheme="majorHAnsi" w:hAnsiTheme="majorHAnsi" w:cs="Arial"/>
          <w:sz w:val="24"/>
          <w:szCs w:val="24"/>
        </w:rPr>
        <w:t>du droit pénal international que l’article</w:t>
      </w:r>
      <w:r w:rsidR="00FB1E79" w:rsidRPr="004154E9">
        <w:rPr>
          <w:rFonts w:asciiTheme="majorHAnsi" w:hAnsiTheme="majorHAnsi" w:cs="Arial"/>
          <w:sz w:val="24"/>
          <w:szCs w:val="24"/>
        </w:rPr>
        <w:t xml:space="preserve"> n’apporte aucune confusion sur le champ d’</w:t>
      </w:r>
      <w:r w:rsidR="00F36A67" w:rsidRPr="004154E9">
        <w:rPr>
          <w:rFonts w:asciiTheme="majorHAnsi" w:hAnsiTheme="majorHAnsi" w:cs="Arial"/>
          <w:sz w:val="24"/>
          <w:szCs w:val="24"/>
        </w:rPr>
        <w:t>application des violations qui seraient conc</w:t>
      </w:r>
      <w:r w:rsidR="002761F4" w:rsidRPr="004154E9">
        <w:rPr>
          <w:rFonts w:asciiTheme="majorHAnsi" w:hAnsiTheme="majorHAnsi" w:cs="Arial"/>
          <w:sz w:val="24"/>
          <w:szCs w:val="24"/>
        </w:rPr>
        <w:t>ernées par l’imprescriptibilité.</w:t>
      </w:r>
    </w:p>
    <w:p w14:paraId="76E6EA56" w14:textId="77777777" w:rsidR="004154E9" w:rsidRPr="004154E9" w:rsidRDefault="004154E9" w:rsidP="004154E9">
      <w:pPr>
        <w:pStyle w:val="ListParagraph"/>
        <w:ind w:left="851"/>
        <w:rPr>
          <w:rFonts w:asciiTheme="majorHAnsi" w:hAnsiTheme="majorHAnsi" w:cs="Arial"/>
          <w:sz w:val="24"/>
          <w:szCs w:val="24"/>
          <w:u w:val="single"/>
        </w:rPr>
      </w:pPr>
    </w:p>
    <w:p w14:paraId="46A1098D" w14:textId="4E6310EE" w:rsidR="00E874F2" w:rsidRDefault="005D5AB3" w:rsidP="00D40C67">
      <w:pPr>
        <w:pStyle w:val="ListParagraph"/>
        <w:numPr>
          <w:ilvl w:val="0"/>
          <w:numId w:val="10"/>
        </w:numPr>
        <w:tabs>
          <w:tab w:val="left" w:pos="851"/>
        </w:tabs>
        <w:ind w:left="851" w:hanging="284"/>
        <w:rPr>
          <w:rFonts w:asciiTheme="majorHAnsi" w:hAnsiTheme="majorHAnsi" w:cs="Arial"/>
          <w:sz w:val="24"/>
          <w:szCs w:val="24"/>
        </w:rPr>
      </w:pPr>
      <w:r w:rsidRPr="00DF0047">
        <w:rPr>
          <w:rFonts w:asciiTheme="majorHAnsi" w:hAnsiTheme="majorHAnsi" w:cs="Arial"/>
          <w:sz w:val="24"/>
          <w:szCs w:val="24"/>
          <w:u w:val="single"/>
        </w:rPr>
        <w:t xml:space="preserve">Article </w:t>
      </w:r>
      <w:r w:rsidR="00DF0047" w:rsidRPr="00DF0047">
        <w:rPr>
          <w:rFonts w:asciiTheme="majorHAnsi" w:hAnsiTheme="majorHAnsi" w:cs="Arial"/>
          <w:sz w:val="24"/>
          <w:szCs w:val="24"/>
          <w:u w:val="single"/>
        </w:rPr>
        <w:t>8 sur les droits des victimes</w:t>
      </w:r>
      <w:r w:rsidR="00DF0047" w:rsidRPr="00DF0047">
        <w:rPr>
          <w:rFonts w:asciiTheme="majorHAnsi" w:hAnsiTheme="majorHAnsi" w:cs="Arial"/>
          <w:sz w:val="24"/>
          <w:szCs w:val="24"/>
        </w:rPr>
        <w:t xml:space="preserve"> </w:t>
      </w:r>
      <w:r w:rsidRPr="00DF0047">
        <w:rPr>
          <w:rFonts w:asciiTheme="majorHAnsi" w:hAnsiTheme="majorHAnsi" w:cs="Arial"/>
          <w:sz w:val="24"/>
          <w:szCs w:val="24"/>
        </w:rPr>
        <w:t xml:space="preserve">: </w:t>
      </w:r>
      <w:r w:rsidR="00E255D6">
        <w:rPr>
          <w:rFonts w:asciiTheme="majorHAnsi" w:hAnsiTheme="majorHAnsi" w:cs="Arial"/>
          <w:sz w:val="24"/>
          <w:szCs w:val="24"/>
        </w:rPr>
        <w:t>l</w:t>
      </w:r>
      <w:r w:rsidR="00DF0047" w:rsidRPr="00DF0047">
        <w:rPr>
          <w:rFonts w:asciiTheme="majorHAnsi" w:hAnsiTheme="majorHAnsi" w:cs="Arial"/>
          <w:sz w:val="24"/>
          <w:szCs w:val="24"/>
        </w:rPr>
        <w:t>es dispositions cont</w:t>
      </w:r>
      <w:r w:rsidR="00476B10">
        <w:rPr>
          <w:rFonts w:asciiTheme="majorHAnsi" w:hAnsiTheme="majorHAnsi" w:cs="Arial"/>
          <w:sz w:val="24"/>
          <w:szCs w:val="24"/>
        </w:rPr>
        <w:t>enues</w:t>
      </w:r>
      <w:r w:rsidR="00DF0047" w:rsidRPr="00DF0047">
        <w:rPr>
          <w:rFonts w:asciiTheme="majorHAnsi" w:hAnsiTheme="majorHAnsi" w:cs="Arial"/>
          <w:sz w:val="24"/>
          <w:szCs w:val="24"/>
        </w:rPr>
        <w:t xml:space="preserve"> dans cet article</w:t>
      </w:r>
      <w:r w:rsidRPr="00DF0047">
        <w:rPr>
          <w:rFonts w:asciiTheme="majorHAnsi" w:hAnsiTheme="majorHAnsi" w:cs="Arial"/>
          <w:sz w:val="24"/>
          <w:szCs w:val="24"/>
        </w:rPr>
        <w:t xml:space="preserve"> mérite</w:t>
      </w:r>
      <w:r w:rsidR="00DF0047">
        <w:rPr>
          <w:rFonts w:asciiTheme="majorHAnsi" w:hAnsiTheme="majorHAnsi" w:cs="Arial"/>
          <w:sz w:val="24"/>
          <w:szCs w:val="24"/>
        </w:rPr>
        <w:t>nt</w:t>
      </w:r>
      <w:r w:rsidRPr="00DF0047">
        <w:rPr>
          <w:rFonts w:asciiTheme="majorHAnsi" w:hAnsiTheme="majorHAnsi" w:cs="Arial"/>
          <w:sz w:val="24"/>
          <w:szCs w:val="24"/>
        </w:rPr>
        <w:t xml:space="preserve"> d’</w:t>
      </w:r>
      <w:r w:rsidR="00C34E90" w:rsidRPr="00DF0047">
        <w:rPr>
          <w:rFonts w:asciiTheme="majorHAnsi" w:hAnsiTheme="majorHAnsi" w:cs="Arial"/>
          <w:sz w:val="24"/>
          <w:szCs w:val="24"/>
        </w:rPr>
        <w:t xml:space="preserve">être </w:t>
      </w:r>
      <w:r w:rsidR="00D40C67">
        <w:rPr>
          <w:rFonts w:asciiTheme="majorHAnsi" w:hAnsiTheme="majorHAnsi" w:cs="Arial"/>
          <w:sz w:val="24"/>
          <w:szCs w:val="24"/>
        </w:rPr>
        <w:t>davantage définies et précisées</w:t>
      </w:r>
      <w:r w:rsidR="00DF0047">
        <w:rPr>
          <w:rFonts w:asciiTheme="majorHAnsi" w:hAnsiTheme="majorHAnsi" w:cs="Arial"/>
          <w:sz w:val="24"/>
          <w:szCs w:val="24"/>
        </w:rPr>
        <w:t xml:space="preserve">. </w:t>
      </w:r>
      <w:r w:rsidR="00D40C67">
        <w:rPr>
          <w:rFonts w:asciiTheme="majorHAnsi" w:hAnsiTheme="majorHAnsi" w:cs="Arial"/>
          <w:sz w:val="24"/>
          <w:szCs w:val="24"/>
        </w:rPr>
        <w:t xml:space="preserve">Rappelant la complémentarité entre les </w:t>
      </w:r>
      <w:r w:rsidR="00D40C67" w:rsidRPr="00D40C67">
        <w:rPr>
          <w:rFonts w:asciiTheme="majorHAnsi" w:hAnsiTheme="majorHAnsi" w:cs="Arial"/>
          <w:i/>
          <w:sz w:val="24"/>
          <w:szCs w:val="24"/>
        </w:rPr>
        <w:t>Principes directeurs des Nations unies sur les entreprises et les droits de l’homme (PDNU)</w:t>
      </w:r>
      <w:r w:rsidR="00D40C67">
        <w:rPr>
          <w:rFonts w:asciiTheme="majorHAnsi" w:hAnsiTheme="majorHAnsi" w:cs="Arial"/>
          <w:i/>
          <w:sz w:val="24"/>
          <w:szCs w:val="24"/>
        </w:rPr>
        <w:t xml:space="preserve"> </w:t>
      </w:r>
      <w:r w:rsidR="00D40C67" w:rsidRPr="00D40C67">
        <w:rPr>
          <w:rFonts w:asciiTheme="majorHAnsi" w:hAnsiTheme="majorHAnsi" w:cs="Arial"/>
          <w:sz w:val="24"/>
          <w:szCs w:val="24"/>
        </w:rPr>
        <w:t xml:space="preserve">et </w:t>
      </w:r>
      <w:r w:rsidR="00D40C67">
        <w:rPr>
          <w:rFonts w:asciiTheme="majorHAnsi" w:hAnsiTheme="majorHAnsi" w:cs="Arial"/>
          <w:sz w:val="24"/>
          <w:szCs w:val="24"/>
        </w:rPr>
        <w:t>le</w:t>
      </w:r>
      <w:r w:rsidR="00D40C67" w:rsidRPr="00D40C67">
        <w:rPr>
          <w:rFonts w:asciiTheme="majorHAnsi" w:hAnsiTheme="majorHAnsi" w:cs="Arial"/>
          <w:sz w:val="24"/>
          <w:szCs w:val="24"/>
        </w:rPr>
        <w:t xml:space="preserve"> projet d’instrument contraignant, la CNCDH considère que cet article constitue une</w:t>
      </w:r>
      <w:r w:rsidRPr="00D40C67">
        <w:rPr>
          <w:rFonts w:asciiTheme="majorHAnsi" w:hAnsiTheme="majorHAnsi" w:cs="Arial"/>
          <w:sz w:val="24"/>
          <w:szCs w:val="24"/>
        </w:rPr>
        <w:t xml:space="preserve"> </w:t>
      </w:r>
      <w:r w:rsidR="00D40C67">
        <w:rPr>
          <w:rFonts w:asciiTheme="majorHAnsi" w:hAnsiTheme="majorHAnsi" w:cs="Arial"/>
          <w:sz w:val="24"/>
          <w:szCs w:val="24"/>
        </w:rPr>
        <w:t xml:space="preserve">véritable </w:t>
      </w:r>
      <w:r w:rsidRPr="00D40C67">
        <w:rPr>
          <w:rFonts w:asciiTheme="majorHAnsi" w:hAnsiTheme="majorHAnsi" w:cs="Arial"/>
          <w:sz w:val="24"/>
          <w:szCs w:val="24"/>
        </w:rPr>
        <w:t>opport</w:t>
      </w:r>
      <w:r w:rsidR="00DF0047" w:rsidRPr="00D40C67">
        <w:rPr>
          <w:rFonts w:asciiTheme="majorHAnsi" w:hAnsiTheme="majorHAnsi" w:cs="Arial"/>
          <w:sz w:val="24"/>
          <w:szCs w:val="24"/>
        </w:rPr>
        <w:t>u</w:t>
      </w:r>
      <w:r w:rsidRPr="00D40C67">
        <w:rPr>
          <w:rFonts w:asciiTheme="majorHAnsi" w:hAnsiTheme="majorHAnsi" w:cs="Arial"/>
          <w:sz w:val="24"/>
          <w:szCs w:val="24"/>
        </w:rPr>
        <w:t xml:space="preserve">nité </w:t>
      </w:r>
      <w:r w:rsidR="00D40C67">
        <w:rPr>
          <w:rFonts w:asciiTheme="majorHAnsi" w:hAnsiTheme="majorHAnsi" w:cs="Arial"/>
          <w:sz w:val="24"/>
          <w:szCs w:val="24"/>
        </w:rPr>
        <w:t>de</w:t>
      </w:r>
      <w:r w:rsidRPr="00D40C67">
        <w:rPr>
          <w:rFonts w:asciiTheme="majorHAnsi" w:hAnsiTheme="majorHAnsi" w:cs="Arial"/>
          <w:sz w:val="24"/>
          <w:szCs w:val="24"/>
        </w:rPr>
        <w:t xml:space="preserve"> renforcer le </w:t>
      </w:r>
      <w:r w:rsidR="00A87E46">
        <w:rPr>
          <w:rFonts w:asciiTheme="majorHAnsi" w:hAnsiTheme="majorHAnsi" w:cs="Arial"/>
          <w:sz w:val="24"/>
          <w:szCs w:val="24"/>
        </w:rPr>
        <w:t xml:space="preserve">contenu du </w:t>
      </w:r>
      <w:r w:rsidRPr="00D40C67">
        <w:rPr>
          <w:rFonts w:asciiTheme="majorHAnsi" w:hAnsiTheme="majorHAnsi" w:cs="Arial"/>
          <w:sz w:val="24"/>
          <w:szCs w:val="24"/>
        </w:rPr>
        <w:t xml:space="preserve">troisième pilier des </w:t>
      </w:r>
      <w:r w:rsidR="00B05D24">
        <w:rPr>
          <w:rFonts w:asciiTheme="majorHAnsi" w:hAnsiTheme="majorHAnsi" w:cs="Arial"/>
          <w:sz w:val="24"/>
          <w:szCs w:val="24"/>
        </w:rPr>
        <w:t>PDNU</w:t>
      </w:r>
      <w:r w:rsidR="00D40C67">
        <w:rPr>
          <w:rFonts w:asciiTheme="majorHAnsi" w:hAnsiTheme="majorHAnsi" w:cs="Arial"/>
          <w:sz w:val="24"/>
          <w:szCs w:val="24"/>
        </w:rPr>
        <w:t xml:space="preserve">, à savoir </w:t>
      </w:r>
      <w:r w:rsidR="0050497E">
        <w:rPr>
          <w:rFonts w:asciiTheme="majorHAnsi" w:hAnsiTheme="majorHAnsi" w:cs="Arial"/>
          <w:sz w:val="24"/>
          <w:szCs w:val="24"/>
        </w:rPr>
        <w:t>les voies de recours</w:t>
      </w:r>
      <w:r w:rsidR="00A87E46">
        <w:rPr>
          <w:rFonts w:asciiTheme="majorHAnsi" w:hAnsiTheme="majorHAnsi" w:cs="Arial"/>
          <w:sz w:val="24"/>
          <w:szCs w:val="24"/>
        </w:rPr>
        <w:t>, le procès équitable</w:t>
      </w:r>
      <w:r w:rsidR="0050497E">
        <w:rPr>
          <w:rFonts w:asciiTheme="majorHAnsi" w:hAnsiTheme="majorHAnsi" w:cs="Arial"/>
          <w:sz w:val="24"/>
          <w:szCs w:val="24"/>
        </w:rPr>
        <w:t xml:space="preserve"> et </w:t>
      </w:r>
      <w:r w:rsidR="00D40C67">
        <w:rPr>
          <w:rFonts w:asciiTheme="majorHAnsi" w:hAnsiTheme="majorHAnsi" w:cs="Arial"/>
          <w:sz w:val="24"/>
          <w:szCs w:val="24"/>
        </w:rPr>
        <w:t xml:space="preserve">la réparation pour les victimes. </w:t>
      </w:r>
    </w:p>
    <w:p w14:paraId="48E8C410" w14:textId="77777777" w:rsidR="004154E9" w:rsidRPr="004154E9" w:rsidRDefault="004154E9" w:rsidP="004154E9">
      <w:pPr>
        <w:pStyle w:val="ListParagraph"/>
        <w:rPr>
          <w:rFonts w:asciiTheme="majorHAnsi" w:hAnsiTheme="majorHAnsi" w:cs="Arial"/>
          <w:sz w:val="24"/>
          <w:szCs w:val="24"/>
        </w:rPr>
      </w:pPr>
    </w:p>
    <w:p w14:paraId="313B3EE6" w14:textId="77777777" w:rsidR="004154E9" w:rsidRDefault="004154E9" w:rsidP="004154E9">
      <w:pPr>
        <w:tabs>
          <w:tab w:val="left" w:pos="851"/>
        </w:tabs>
        <w:rPr>
          <w:rFonts w:asciiTheme="majorHAnsi" w:hAnsiTheme="majorHAnsi" w:cs="Arial"/>
          <w:sz w:val="24"/>
          <w:szCs w:val="24"/>
        </w:rPr>
      </w:pPr>
    </w:p>
    <w:p w14:paraId="35368777" w14:textId="77777777" w:rsidR="004154E9" w:rsidRDefault="004154E9" w:rsidP="004154E9">
      <w:pPr>
        <w:tabs>
          <w:tab w:val="left" w:pos="851"/>
        </w:tabs>
        <w:rPr>
          <w:rFonts w:asciiTheme="majorHAnsi" w:hAnsiTheme="majorHAnsi" w:cs="Arial"/>
          <w:sz w:val="24"/>
          <w:szCs w:val="24"/>
        </w:rPr>
      </w:pPr>
    </w:p>
    <w:p w14:paraId="498D61C9" w14:textId="77777777" w:rsidR="00B05D24" w:rsidRDefault="00B05D24" w:rsidP="004154E9">
      <w:pPr>
        <w:tabs>
          <w:tab w:val="left" w:pos="851"/>
        </w:tabs>
        <w:rPr>
          <w:rFonts w:asciiTheme="majorHAnsi" w:hAnsiTheme="majorHAnsi" w:cs="Arial"/>
          <w:sz w:val="24"/>
          <w:szCs w:val="24"/>
        </w:rPr>
      </w:pPr>
    </w:p>
    <w:p w14:paraId="07F79F06" w14:textId="77777777" w:rsidR="004154E9" w:rsidRPr="004154E9" w:rsidRDefault="004154E9" w:rsidP="004154E9">
      <w:pPr>
        <w:tabs>
          <w:tab w:val="left" w:pos="851"/>
        </w:tabs>
        <w:rPr>
          <w:rFonts w:asciiTheme="majorHAnsi" w:hAnsiTheme="majorHAnsi" w:cs="Arial"/>
          <w:sz w:val="24"/>
          <w:szCs w:val="24"/>
        </w:rPr>
      </w:pPr>
    </w:p>
    <w:p w14:paraId="2AF83234" w14:textId="77777777" w:rsidR="00C34E90" w:rsidRPr="00C34E90" w:rsidRDefault="00C34E90" w:rsidP="00C34E90">
      <w:pPr>
        <w:pStyle w:val="ListParagraph"/>
        <w:ind w:left="851"/>
        <w:rPr>
          <w:rFonts w:asciiTheme="majorHAnsi" w:hAnsiTheme="majorHAnsi" w:cs="Arial"/>
          <w:sz w:val="24"/>
          <w:szCs w:val="24"/>
        </w:rPr>
      </w:pPr>
    </w:p>
    <w:p w14:paraId="0EAAAF6A" w14:textId="0A938EC1" w:rsidR="00A679EB" w:rsidRPr="00324DCD" w:rsidRDefault="006E429D" w:rsidP="00A679EB">
      <w:pPr>
        <w:pStyle w:val="ListParagraph"/>
        <w:numPr>
          <w:ilvl w:val="0"/>
          <w:numId w:val="10"/>
        </w:numPr>
        <w:ind w:left="851" w:hanging="284"/>
        <w:rPr>
          <w:rFonts w:asciiTheme="majorHAnsi" w:hAnsiTheme="majorHAnsi" w:cs="Arial"/>
          <w:sz w:val="24"/>
          <w:szCs w:val="24"/>
        </w:rPr>
      </w:pPr>
      <w:r w:rsidRPr="00324DCD">
        <w:rPr>
          <w:rFonts w:asciiTheme="majorHAnsi" w:hAnsiTheme="majorHAnsi" w:cs="Arial"/>
          <w:sz w:val="24"/>
          <w:szCs w:val="24"/>
          <w:u w:val="single"/>
        </w:rPr>
        <w:t>Article 10 sur la responsabilité</w:t>
      </w:r>
      <w:r w:rsidR="00405FBD" w:rsidRPr="00324DCD">
        <w:rPr>
          <w:rFonts w:asciiTheme="majorHAnsi" w:hAnsiTheme="majorHAnsi" w:cs="Arial"/>
          <w:sz w:val="24"/>
          <w:szCs w:val="24"/>
          <w:u w:val="single"/>
        </w:rPr>
        <w:t xml:space="preserve"> civil</w:t>
      </w:r>
      <w:r w:rsidR="00AD42BF" w:rsidRPr="00324DCD">
        <w:rPr>
          <w:rFonts w:asciiTheme="majorHAnsi" w:hAnsiTheme="majorHAnsi" w:cs="Arial"/>
          <w:sz w:val="24"/>
          <w:szCs w:val="24"/>
          <w:u w:val="single"/>
        </w:rPr>
        <w:t>e</w:t>
      </w:r>
      <w:r w:rsidR="00405FBD" w:rsidRPr="00324DCD">
        <w:rPr>
          <w:rFonts w:asciiTheme="majorHAnsi" w:hAnsiTheme="majorHAnsi" w:cs="Arial"/>
          <w:sz w:val="24"/>
          <w:szCs w:val="24"/>
        </w:rPr>
        <w:t> :</w:t>
      </w:r>
      <w:r w:rsidRPr="00324DCD">
        <w:rPr>
          <w:rFonts w:asciiTheme="majorHAnsi" w:hAnsiTheme="majorHAnsi" w:cs="Arial"/>
          <w:sz w:val="24"/>
          <w:szCs w:val="24"/>
        </w:rPr>
        <w:t xml:space="preserve"> </w:t>
      </w:r>
      <w:r w:rsidR="00E255D6">
        <w:rPr>
          <w:rFonts w:asciiTheme="majorHAnsi" w:hAnsiTheme="majorHAnsi" w:cs="Arial"/>
          <w:sz w:val="24"/>
          <w:szCs w:val="24"/>
        </w:rPr>
        <w:t>c</w:t>
      </w:r>
      <w:r w:rsidR="00AD42BF" w:rsidRPr="00324DCD">
        <w:rPr>
          <w:rFonts w:asciiTheme="majorHAnsi" w:hAnsiTheme="majorHAnsi" w:cs="Arial"/>
          <w:sz w:val="24"/>
          <w:szCs w:val="24"/>
        </w:rPr>
        <w:t>e même article mélange</w:t>
      </w:r>
      <w:r w:rsidR="00DD3AF2" w:rsidRPr="00324DCD">
        <w:rPr>
          <w:rFonts w:asciiTheme="majorHAnsi" w:hAnsiTheme="majorHAnsi" w:cs="Arial"/>
          <w:sz w:val="24"/>
          <w:szCs w:val="24"/>
        </w:rPr>
        <w:t xml:space="preserve"> droit civil, d</w:t>
      </w:r>
      <w:r w:rsidR="000B7555" w:rsidRPr="00324DCD">
        <w:rPr>
          <w:rFonts w:asciiTheme="majorHAnsi" w:hAnsiTheme="majorHAnsi" w:cs="Arial"/>
          <w:sz w:val="24"/>
          <w:szCs w:val="24"/>
        </w:rPr>
        <w:t>roit pénal, droit administratif et</w:t>
      </w:r>
      <w:r w:rsidR="00DD3AF2" w:rsidRPr="00324DCD">
        <w:rPr>
          <w:rFonts w:asciiTheme="majorHAnsi" w:hAnsiTheme="majorHAnsi" w:cs="Arial"/>
          <w:sz w:val="24"/>
          <w:szCs w:val="24"/>
        </w:rPr>
        <w:t xml:space="preserve"> procédure</w:t>
      </w:r>
      <w:r w:rsidR="00265088" w:rsidRPr="00324DCD">
        <w:rPr>
          <w:rFonts w:asciiTheme="majorHAnsi" w:hAnsiTheme="majorHAnsi" w:cs="Arial"/>
          <w:sz w:val="24"/>
          <w:szCs w:val="24"/>
        </w:rPr>
        <w:t>s</w:t>
      </w:r>
      <w:r w:rsidR="00DD3AF2" w:rsidRPr="00324DCD">
        <w:rPr>
          <w:rFonts w:asciiTheme="majorHAnsi" w:hAnsiTheme="majorHAnsi" w:cs="Arial"/>
          <w:sz w:val="24"/>
          <w:szCs w:val="24"/>
        </w:rPr>
        <w:t xml:space="preserve"> civile et pénale. </w:t>
      </w:r>
      <w:r w:rsidR="00AD42BF" w:rsidRPr="00324DCD">
        <w:rPr>
          <w:rFonts w:asciiTheme="majorHAnsi" w:hAnsiTheme="majorHAnsi" w:cs="Arial"/>
          <w:sz w:val="24"/>
          <w:szCs w:val="24"/>
        </w:rPr>
        <w:t xml:space="preserve">Cela </w:t>
      </w:r>
      <w:r w:rsidR="008A2C31" w:rsidRPr="00324DCD">
        <w:rPr>
          <w:rFonts w:asciiTheme="majorHAnsi" w:hAnsiTheme="majorHAnsi" w:cs="Arial"/>
          <w:sz w:val="24"/>
          <w:szCs w:val="24"/>
        </w:rPr>
        <w:t>nuit à la lisibilité du texte</w:t>
      </w:r>
      <w:r w:rsidR="00A15E44" w:rsidRPr="00324DCD">
        <w:rPr>
          <w:rFonts w:asciiTheme="majorHAnsi" w:hAnsiTheme="majorHAnsi" w:cs="Arial"/>
          <w:sz w:val="24"/>
          <w:szCs w:val="24"/>
        </w:rPr>
        <w:t xml:space="preserve"> et rend l’établissement des responsabilités difficile</w:t>
      </w:r>
      <w:r w:rsidR="00FA3DD8" w:rsidRPr="00324DCD">
        <w:rPr>
          <w:rFonts w:asciiTheme="majorHAnsi" w:hAnsiTheme="majorHAnsi" w:cs="Arial"/>
          <w:sz w:val="24"/>
          <w:szCs w:val="24"/>
        </w:rPr>
        <w:t xml:space="preserve">. </w:t>
      </w:r>
      <w:r w:rsidR="00A15E44" w:rsidRPr="00324DCD">
        <w:rPr>
          <w:rFonts w:asciiTheme="majorHAnsi" w:hAnsiTheme="majorHAnsi" w:cs="Arial"/>
          <w:sz w:val="24"/>
          <w:szCs w:val="24"/>
        </w:rPr>
        <w:t>L</w:t>
      </w:r>
      <w:r w:rsidR="00695059" w:rsidRPr="00324DCD">
        <w:rPr>
          <w:rFonts w:asciiTheme="majorHAnsi" w:hAnsiTheme="majorHAnsi" w:cs="Arial"/>
          <w:sz w:val="24"/>
          <w:szCs w:val="24"/>
        </w:rPr>
        <w:t xml:space="preserve">a CNCDH invite </w:t>
      </w:r>
      <w:r w:rsidR="00FA3DD8" w:rsidRPr="00324DCD">
        <w:rPr>
          <w:rFonts w:asciiTheme="majorHAnsi" w:hAnsiTheme="majorHAnsi" w:cs="Arial"/>
          <w:sz w:val="24"/>
          <w:szCs w:val="24"/>
        </w:rPr>
        <w:t>le Groupe intergouvernemental à scinder cet article</w:t>
      </w:r>
      <w:r w:rsidR="00A15E44" w:rsidRPr="00324DCD">
        <w:rPr>
          <w:rFonts w:asciiTheme="majorHAnsi" w:hAnsiTheme="majorHAnsi" w:cs="Arial"/>
          <w:sz w:val="24"/>
          <w:szCs w:val="24"/>
        </w:rPr>
        <w:t xml:space="preserve"> et à préciser les différentes formes et moyens d’engagement des responsabilités. </w:t>
      </w:r>
    </w:p>
    <w:p w14:paraId="451823AA" w14:textId="77777777" w:rsidR="002761F4" w:rsidRPr="00324DCD" w:rsidRDefault="002761F4" w:rsidP="00A679EB">
      <w:pPr>
        <w:pStyle w:val="ListParagraph"/>
        <w:rPr>
          <w:rFonts w:asciiTheme="majorHAnsi" w:hAnsiTheme="majorHAnsi"/>
          <w:sz w:val="24"/>
          <w:szCs w:val="24"/>
          <w:u w:val="single"/>
        </w:rPr>
      </w:pPr>
    </w:p>
    <w:p w14:paraId="4A1D0667" w14:textId="4FED485D" w:rsidR="00C65404" w:rsidRPr="002761F4" w:rsidRDefault="002A47F5" w:rsidP="005578B7">
      <w:pPr>
        <w:pStyle w:val="ListParagraph"/>
        <w:numPr>
          <w:ilvl w:val="0"/>
          <w:numId w:val="9"/>
        </w:numPr>
        <w:tabs>
          <w:tab w:val="left" w:pos="851"/>
        </w:tabs>
        <w:ind w:left="851" w:hanging="284"/>
        <w:rPr>
          <w:rFonts w:asciiTheme="majorHAnsi" w:hAnsiTheme="majorHAnsi"/>
          <w:color w:val="FF0000"/>
          <w:sz w:val="24"/>
          <w:szCs w:val="24"/>
        </w:rPr>
      </w:pPr>
      <w:r w:rsidRPr="002761F4">
        <w:rPr>
          <w:rFonts w:asciiTheme="majorHAnsi" w:hAnsiTheme="majorHAnsi"/>
          <w:sz w:val="24"/>
          <w:szCs w:val="24"/>
          <w:u w:val="single"/>
        </w:rPr>
        <w:t>A</w:t>
      </w:r>
      <w:r w:rsidR="00CB6EF4" w:rsidRPr="002761F4">
        <w:rPr>
          <w:rFonts w:asciiTheme="majorHAnsi" w:hAnsiTheme="majorHAnsi"/>
          <w:sz w:val="24"/>
          <w:szCs w:val="24"/>
          <w:u w:val="single"/>
        </w:rPr>
        <w:t>rticle 13</w:t>
      </w:r>
      <w:r w:rsidR="001B35F8" w:rsidRPr="002761F4">
        <w:rPr>
          <w:rFonts w:asciiTheme="majorHAnsi" w:hAnsiTheme="majorHAnsi"/>
          <w:sz w:val="24"/>
          <w:szCs w:val="24"/>
          <w:u w:val="single"/>
        </w:rPr>
        <w:t xml:space="preserve"> </w:t>
      </w:r>
      <w:r w:rsidRPr="002761F4">
        <w:rPr>
          <w:rFonts w:asciiTheme="majorHAnsi" w:hAnsiTheme="majorHAnsi"/>
          <w:sz w:val="24"/>
          <w:szCs w:val="24"/>
          <w:u w:val="single"/>
        </w:rPr>
        <w:t>sur la c</w:t>
      </w:r>
      <w:r w:rsidR="00CB6EF4" w:rsidRPr="002761F4">
        <w:rPr>
          <w:rFonts w:asciiTheme="majorHAnsi" w:hAnsiTheme="majorHAnsi"/>
          <w:sz w:val="24"/>
          <w:szCs w:val="24"/>
          <w:u w:val="single"/>
        </w:rPr>
        <w:t>onformité avec le droit international</w:t>
      </w:r>
      <w:r w:rsidR="00EB4DE6" w:rsidRPr="002761F4">
        <w:rPr>
          <w:rFonts w:asciiTheme="majorHAnsi" w:hAnsiTheme="majorHAnsi"/>
          <w:sz w:val="24"/>
          <w:szCs w:val="24"/>
          <w:u w:val="single"/>
        </w:rPr>
        <w:t> :</w:t>
      </w:r>
      <w:r w:rsidR="00E83D14">
        <w:rPr>
          <w:rFonts w:asciiTheme="majorHAnsi" w:hAnsiTheme="majorHAnsi"/>
          <w:sz w:val="24"/>
          <w:szCs w:val="24"/>
        </w:rPr>
        <w:t xml:space="preserve"> </w:t>
      </w:r>
      <w:r w:rsidR="00E255D6">
        <w:rPr>
          <w:rFonts w:asciiTheme="majorHAnsi" w:hAnsiTheme="majorHAnsi"/>
          <w:sz w:val="24"/>
          <w:szCs w:val="24"/>
        </w:rPr>
        <w:t>l</w:t>
      </w:r>
      <w:r w:rsidR="00E83D14">
        <w:rPr>
          <w:rFonts w:asciiTheme="majorHAnsi" w:hAnsiTheme="majorHAnsi"/>
          <w:sz w:val="24"/>
          <w:szCs w:val="24"/>
        </w:rPr>
        <w:t>a</w:t>
      </w:r>
      <w:r w:rsidRPr="002761F4">
        <w:rPr>
          <w:rFonts w:asciiTheme="majorHAnsi" w:hAnsiTheme="majorHAnsi"/>
          <w:sz w:val="24"/>
          <w:szCs w:val="24"/>
        </w:rPr>
        <w:t xml:space="preserve"> CNCDH </w:t>
      </w:r>
      <w:r w:rsidR="00EB4DE6" w:rsidRPr="002761F4">
        <w:rPr>
          <w:rFonts w:asciiTheme="majorHAnsi" w:hAnsiTheme="majorHAnsi"/>
          <w:sz w:val="24"/>
          <w:szCs w:val="24"/>
        </w:rPr>
        <w:t>considère</w:t>
      </w:r>
      <w:r w:rsidRPr="002761F4">
        <w:rPr>
          <w:rFonts w:asciiTheme="majorHAnsi" w:hAnsiTheme="majorHAnsi"/>
          <w:sz w:val="24"/>
          <w:szCs w:val="24"/>
        </w:rPr>
        <w:t xml:space="preserve"> </w:t>
      </w:r>
      <w:r w:rsidR="00E431A2" w:rsidRPr="002761F4">
        <w:rPr>
          <w:rFonts w:asciiTheme="majorHAnsi" w:hAnsiTheme="majorHAnsi"/>
          <w:sz w:val="24"/>
          <w:szCs w:val="24"/>
        </w:rPr>
        <w:t xml:space="preserve">que l’article devrait </w:t>
      </w:r>
      <w:r w:rsidR="0010677D" w:rsidRPr="002761F4">
        <w:rPr>
          <w:rFonts w:asciiTheme="majorHAnsi" w:hAnsiTheme="majorHAnsi"/>
          <w:sz w:val="24"/>
          <w:szCs w:val="24"/>
        </w:rPr>
        <w:t>être entièrement reformulé</w:t>
      </w:r>
      <w:r w:rsidR="00E431A2" w:rsidRPr="002761F4">
        <w:rPr>
          <w:rFonts w:asciiTheme="majorHAnsi" w:hAnsiTheme="majorHAnsi"/>
          <w:sz w:val="24"/>
          <w:szCs w:val="24"/>
        </w:rPr>
        <w:t xml:space="preserve">. </w:t>
      </w:r>
      <w:r w:rsidR="0050497E">
        <w:rPr>
          <w:rFonts w:asciiTheme="majorHAnsi" w:hAnsiTheme="majorHAnsi"/>
          <w:sz w:val="24"/>
          <w:szCs w:val="24"/>
        </w:rPr>
        <w:t>A titre d’</w:t>
      </w:r>
      <w:r w:rsidR="0010677D" w:rsidRPr="002761F4">
        <w:rPr>
          <w:rFonts w:asciiTheme="majorHAnsi" w:hAnsiTheme="majorHAnsi"/>
          <w:sz w:val="24"/>
          <w:szCs w:val="24"/>
        </w:rPr>
        <w:t xml:space="preserve">exemple, </w:t>
      </w:r>
      <w:r w:rsidR="0050497E">
        <w:rPr>
          <w:rFonts w:asciiTheme="majorHAnsi" w:hAnsiTheme="majorHAnsi"/>
          <w:sz w:val="24"/>
          <w:szCs w:val="24"/>
        </w:rPr>
        <w:t xml:space="preserve">son </w:t>
      </w:r>
      <w:r w:rsidRPr="002761F4">
        <w:rPr>
          <w:rFonts w:asciiTheme="majorHAnsi" w:hAnsiTheme="majorHAnsi"/>
          <w:sz w:val="24"/>
          <w:szCs w:val="24"/>
        </w:rPr>
        <w:t>a</w:t>
      </w:r>
      <w:r w:rsidR="00405FBD" w:rsidRPr="002761F4">
        <w:rPr>
          <w:rFonts w:asciiTheme="majorHAnsi" w:hAnsiTheme="majorHAnsi"/>
          <w:sz w:val="24"/>
          <w:szCs w:val="24"/>
        </w:rPr>
        <w:t xml:space="preserve">linéa </w:t>
      </w:r>
      <w:r w:rsidR="00E431A2" w:rsidRPr="002761F4">
        <w:rPr>
          <w:rFonts w:asciiTheme="majorHAnsi" w:hAnsiTheme="majorHAnsi"/>
          <w:sz w:val="24"/>
          <w:szCs w:val="24"/>
        </w:rPr>
        <w:t>3</w:t>
      </w:r>
      <w:r w:rsidR="0050497E">
        <w:rPr>
          <w:rFonts w:asciiTheme="majorHAnsi" w:hAnsiTheme="majorHAnsi"/>
          <w:sz w:val="24"/>
          <w:szCs w:val="24"/>
        </w:rPr>
        <w:t xml:space="preserve"> </w:t>
      </w:r>
      <w:r w:rsidRPr="002761F4">
        <w:rPr>
          <w:rFonts w:asciiTheme="majorHAnsi" w:hAnsiTheme="majorHAnsi"/>
          <w:sz w:val="24"/>
          <w:szCs w:val="24"/>
        </w:rPr>
        <w:t xml:space="preserve">est rédigé de manière </w:t>
      </w:r>
      <w:r w:rsidR="00EB4DE6" w:rsidRPr="002761F4">
        <w:rPr>
          <w:rFonts w:asciiTheme="majorHAnsi" w:hAnsiTheme="majorHAnsi"/>
          <w:sz w:val="24"/>
          <w:szCs w:val="24"/>
        </w:rPr>
        <w:t>confuse</w:t>
      </w:r>
      <w:r w:rsidR="00E255D6">
        <w:rPr>
          <w:rFonts w:asciiTheme="majorHAnsi" w:hAnsiTheme="majorHAnsi"/>
          <w:sz w:val="24"/>
          <w:szCs w:val="24"/>
        </w:rPr>
        <w:t>. En l’état</w:t>
      </w:r>
      <w:r w:rsidR="00A87E46">
        <w:rPr>
          <w:rFonts w:asciiTheme="majorHAnsi" w:hAnsiTheme="majorHAnsi"/>
          <w:sz w:val="24"/>
          <w:szCs w:val="24"/>
        </w:rPr>
        <w:t>,</w:t>
      </w:r>
      <w:r w:rsidR="00E255D6">
        <w:rPr>
          <w:rFonts w:asciiTheme="majorHAnsi" w:hAnsiTheme="majorHAnsi"/>
          <w:sz w:val="24"/>
          <w:szCs w:val="24"/>
        </w:rPr>
        <w:t xml:space="preserve"> l’</w:t>
      </w:r>
      <w:r w:rsidR="001B35F8" w:rsidRPr="002761F4">
        <w:rPr>
          <w:rFonts w:asciiTheme="majorHAnsi" w:hAnsiTheme="majorHAnsi"/>
          <w:sz w:val="24"/>
          <w:szCs w:val="24"/>
        </w:rPr>
        <w:t xml:space="preserve">interprétation qui pourrait en être faite aurait pour effet de subordonner l’application du traité au droit interne annihilant la portée contraignante des obligations qu’il contient. </w:t>
      </w:r>
    </w:p>
    <w:p w14:paraId="568B687F" w14:textId="560983E6" w:rsidR="00C65404" w:rsidRDefault="001B35F8" w:rsidP="005578B7">
      <w:pPr>
        <w:pStyle w:val="ListParagraph"/>
        <w:ind w:left="851"/>
        <w:rPr>
          <w:rFonts w:asciiTheme="majorHAnsi" w:hAnsiTheme="majorHAnsi" w:cs="Times New Roman"/>
          <w:sz w:val="24"/>
          <w:szCs w:val="24"/>
        </w:rPr>
      </w:pPr>
      <w:r w:rsidRPr="00324DCD">
        <w:rPr>
          <w:rFonts w:asciiTheme="majorHAnsi" w:hAnsiTheme="majorHAnsi"/>
          <w:sz w:val="24"/>
          <w:szCs w:val="24"/>
        </w:rPr>
        <w:t xml:space="preserve">S’agissant de </w:t>
      </w:r>
      <w:r w:rsidR="00BB103E" w:rsidRPr="00324DCD">
        <w:rPr>
          <w:rFonts w:asciiTheme="majorHAnsi" w:hAnsiTheme="majorHAnsi"/>
          <w:sz w:val="24"/>
          <w:szCs w:val="24"/>
        </w:rPr>
        <w:t>l’articulation entre les dispositions du traité et le droit international économique</w:t>
      </w:r>
      <w:r w:rsidRPr="00324DCD">
        <w:rPr>
          <w:rFonts w:asciiTheme="majorHAnsi" w:hAnsiTheme="majorHAnsi"/>
          <w:sz w:val="24"/>
          <w:szCs w:val="24"/>
        </w:rPr>
        <w:t>, la CNCDH estime que le texte est insuffisamment clair</w:t>
      </w:r>
      <w:r w:rsidR="00BB103E" w:rsidRPr="00324DCD">
        <w:rPr>
          <w:rFonts w:asciiTheme="majorHAnsi" w:hAnsiTheme="majorHAnsi"/>
          <w:sz w:val="24"/>
          <w:szCs w:val="24"/>
        </w:rPr>
        <w:t xml:space="preserve"> et incomplet</w:t>
      </w:r>
      <w:r w:rsidRPr="00324DCD">
        <w:rPr>
          <w:rFonts w:asciiTheme="majorHAnsi" w:hAnsiTheme="majorHAnsi"/>
          <w:sz w:val="24"/>
          <w:szCs w:val="24"/>
        </w:rPr>
        <w:t xml:space="preserve">. </w:t>
      </w:r>
      <w:r w:rsidR="00CD5CD6" w:rsidRPr="00324DCD">
        <w:rPr>
          <w:rFonts w:asciiTheme="majorHAnsi" w:hAnsiTheme="majorHAnsi"/>
          <w:sz w:val="24"/>
          <w:szCs w:val="24"/>
        </w:rPr>
        <w:t xml:space="preserve">La Commission considère que cet article devrait être reformulé en faisant notamment </w:t>
      </w:r>
      <w:r w:rsidR="002159E7" w:rsidRPr="00324DCD">
        <w:rPr>
          <w:rFonts w:asciiTheme="majorHAnsi" w:hAnsiTheme="majorHAnsi"/>
          <w:sz w:val="24"/>
          <w:szCs w:val="24"/>
        </w:rPr>
        <w:t>référence aux instruments existants en matière de protection des droits de l’homme</w:t>
      </w:r>
      <w:r w:rsidR="00256DD9" w:rsidRPr="00324DCD">
        <w:rPr>
          <w:rFonts w:asciiTheme="majorHAnsi" w:hAnsiTheme="majorHAnsi"/>
          <w:sz w:val="24"/>
          <w:szCs w:val="24"/>
        </w:rPr>
        <w:t xml:space="preserve">. </w:t>
      </w:r>
      <w:r w:rsidR="005578B7" w:rsidRPr="00324DCD">
        <w:rPr>
          <w:rFonts w:asciiTheme="majorHAnsi" w:hAnsiTheme="majorHAnsi"/>
          <w:sz w:val="24"/>
          <w:szCs w:val="24"/>
        </w:rPr>
        <w:t>Sur ce point, elle rappelle notamment sa doctrine antérieure</w:t>
      </w:r>
      <w:r w:rsidR="00E255D6">
        <w:rPr>
          <w:rFonts w:asciiTheme="majorHAnsi" w:hAnsiTheme="majorHAnsi"/>
          <w:sz w:val="24"/>
          <w:szCs w:val="24"/>
        </w:rPr>
        <w:t>,</w:t>
      </w:r>
      <w:r w:rsidR="005578B7" w:rsidRPr="00324DCD">
        <w:rPr>
          <w:rFonts w:asciiTheme="majorHAnsi" w:hAnsiTheme="majorHAnsi"/>
          <w:sz w:val="24"/>
          <w:szCs w:val="24"/>
        </w:rPr>
        <w:t xml:space="preserve"> </w:t>
      </w:r>
      <w:r w:rsidR="00E255D6" w:rsidRPr="00E255D6">
        <w:rPr>
          <w:rFonts w:asciiTheme="majorHAnsi" w:hAnsiTheme="majorHAnsi"/>
          <w:sz w:val="24"/>
          <w:szCs w:val="24"/>
        </w:rPr>
        <w:t xml:space="preserve">ainsi en 2016, </w:t>
      </w:r>
      <w:r w:rsidR="005578B7" w:rsidRPr="00324DCD">
        <w:rPr>
          <w:rFonts w:asciiTheme="majorHAnsi" w:hAnsiTheme="majorHAnsi"/>
          <w:sz w:val="24"/>
          <w:szCs w:val="24"/>
        </w:rPr>
        <w:t>dans un avis sur l’accord économique et commercial global entre l’Union européenne et le Canada (CETA)</w:t>
      </w:r>
      <w:r w:rsidR="005578B7" w:rsidRPr="00324DCD">
        <w:rPr>
          <w:rStyle w:val="FootnoteReference"/>
          <w:rFonts w:asciiTheme="majorHAnsi" w:hAnsiTheme="majorHAnsi"/>
          <w:sz w:val="24"/>
          <w:szCs w:val="24"/>
        </w:rPr>
        <w:footnoteReference w:id="8"/>
      </w:r>
      <w:r w:rsidR="005578B7" w:rsidRPr="00324DCD">
        <w:rPr>
          <w:rFonts w:asciiTheme="majorHAnsi" w:hAnsiTheme="majorHAnsi"/>
          <w:sz w:val="24"/>
          <w:szCs w:val="24"/>
        </w:rPr>
        <w:t xml:space="preserve">, la CNCDH recommandait notamment que « </w:t>
      </w:r>
      <w:r w:rsidR="00C65404" w:rsidRPr="00324DCD">
        <w:rPr>
          <w:rFonts w:asciiTheme="majorHAnsi" w:hAnsiTheme="majorHAnsi" w:cs="Times New Roman"/>
          <w:i/>
          <w:sz w:val="24"/>
          <w:szCs w:val="24"/>
        </w:rPr>
        <w:t xml:space="preserve">le respect des normes internationales en matière de droits sociaux soit une condition sine qua none de la mise en application des accords internationaux de commerce et d’investissement. Il conviendrait de poser comme obligation de résultat la mise en œuvre et le respect des conventions et autres textes internationaux par lesquels les Etats sont auparavant liés </w:t>
      </w:r>
      <w:r w:rsidR="005578B7" w:rsidRPr="00324DCD">
        <w:rPr>
          <w:rFonts w:asciiTheme="majorHAnsi" w:hAnsiTheme="majorHAnsi" w:cs="Times New Roman"/>
          <w:i/>
          <w:sz w:val="24"/>
          <w:szCs w:val="24"/>
        </w:rPr>
        <w:t>en matière de droits de l’homme »</w:t>
      </w:r>
      <w:r w:rsidR="005578B7" w:rsidRPr="00324DCD">
        <w:rPr>
          <w:rStyle w:val="FootnoteReference"/>
          <w:rFonts w:asciiTheme="majorHAnsi" w:hAnsiTheme="majorHAnsi" w:cs="Times New Roman"/>
          <w:i/>
          <w:sz w:val="24"/>
          <w:szCs w:val="24"/>
        </w:rPr>
        <w:footnoteReference w:id="9"/>
      </w:r>
      <w:r w:rsidR="005578B7" w:rsidRPr="00324DCD">
        <w:rPr>
          <w:rFonts w:asciiTheme="majorHAnsi" w:hAnsiTheme="majorHAnsi" w:cs="Times New Roman"/>
          <w:i/>
          <w:sz w:val="24"/>
          <w:szCs w:val="24"/>
        </w:rPr>
        <w:t xml:space="preserve">, </w:t>
      </w:r>
      <w:r w:rsidR="005578B7" w:rsidRPr="00324DCD">
        <w:rPr>
          <w:rFonts w:asciiTheme="majorHAnsi" w:hAnsiTheme="majorHAnsi" w:cs="Times New Roman"/>
          <w:sz w:val="24"/>
          <w:szCs w:val="24"/>
        </w:rPr>
        <w:t>préconisant également que</w:t>
      </w:r>
      <w:r w:rsidR="005578B7" w:rsidRPr="00324DCD">
        <w:rPr>
          <w:rFonts w:asciiTheme="majorHAnsi" w:hAnsiTheme="majorHAnsi" w:cs="Times New Roman"/>
          <w:i/>
          <w:sz w:val="24"/>
          <w:szCs w:val="24"/>
        </w:rPr>
        <w:t xml:space="preserve"> « </w:t>
      </w:r>
      <w:r w:rsidR="00C65404" w:rsidRPr="00324DCD">
        <w:rPr>
          <w:rFonts w:asciiTheme="majorHAnsi" w:hAnsiTheme="majorHAnsi" w:cs="Times New Roman"/>
          <w:i/>
          <w:sz w:val="24"/>
          <w:szCs w:val="24"/>
        </w:rPr>
        <w:t>dans un accord de nouvelle génération de type CETA, les Parties posent comme condition préalable à l’entrée en vigueur de l’accord la ratification de l’ensemble des conventions fondamentales de l’O</w:t>
      </w:r>
      <w:r w:rsidR="005578B7" w:rsidRPr="00324DCD">
        <w:rPr>
          <w:rFonts w:asciiTheme="majorHAnsi" w:hAnsiTheme="majorHAnsi" w:cs="Times New Roman"/>
          <w:i/>
          <w:sz w:val="24"/>
          <w:szCs w:val="24"/>
        </w:rPr>
        <w:t>rganisation internationale du travail »</w:t>
      </w:r>
      <w:r w:rsidR="00E0711F" w:rsidRPr="00324DCD">
        <w:rPr>
          <w:rStyle w:val="FootnoteReference"/>
          <w:rFonts w:asciiTheme="majorHAnsi" w:hAnsiTheme="majorHAnsi" w:cs="Times New Roman"/>
          <w:i/>
          <w:sz w:val="24"/>
          <w:szCs w:val="24"/>
        </w:rPr>
        <w:footnoteReference w:id="10"/>
      </w:r>
      <w:r w:rsidR="005578B7" w:rsidRPr="00324DCD">
        <w:rPr>
          <w:rFonts w:asciiTheme="majorHAnsi" w:hAnsiTheme="majorHAnsi" w:cs="Times New Roman"/>
          <w:i/>
          <w:sz w:val="24"/>
          <w:szCs w:val="24"/>
        </w:rPr>
        <w:t>.</w:t>
      </w:r>
      <w:r w:rsidR="005578B7" w:rsidRPr="00324DCD">
        <w:rPr>
          <w:rFonts w:asciiTheme="majorHAnsi" w:hAnsiTheme="majorHAnsi" w:cs="Times New Roman"/>
          <w:sz w:val="24"/>
          <w:szCs w:val="24"/>
        </w:rPr>
        <w:t xml:space="preserve"> </w:t>
      </w:r>
    </w:p>
    <w:p w14:paraId="3D34AA20" w14:textId="77777777" w:rsidR="00D40C67" w:rsidRDefault="00D40C67" w:rsidP="005578B7">
      <w:pPr>
        <w:pStyle w:val="ListParagraph"/>
        <w:ind w:left="851"/>
        <w:rPr>
          <w:rFonts w:asciiTheme="majorHAnsi" w:hAnsiTheme="majorHAnsi" w:cs="Times New Roman"/>
          <w:sz w:val="24"/>
          <w:szCs w:val="24"/>
        </w:rPr>
      </w:pPr>
    </w:p>
    <w:p w14:paraId="286F6D3C" w14:textId="77777777" w:rsidR="00D40C67" w:rsidRDefault="00D40C67" w:rsidP="005578B7">
      <w:pPr>
        <w:pStyle w:val="ListParagraph"/>
        <w:ind w:left="851"/>
        <w:rPr>
          <w:rFonts w:asciiTheme="majorHAnsi" w:hAnsiTheme="majorHAnsi" w:cs="Times New Roman"/>
          <w:sz w:val="24"/>
          <w:szCs w:val="24"/>
        </w:rPr>
      </w:pPr>
    </w:p>
    <w:p w14:paraId="55BE67F1" w14:textId="77777777" w:rsidR="00D40C67" w:rsidRDefault="00D40C67" w:rsidP="005578B7">
      <w:pPr>
        <w:pStyle w:val="ListParagraph"/>
        <w:ind w:left="851"/>
        <w:rPr>
          <w:rFonts w:asciiTheme="majorHAnsi" w:hAnsiTheme="majorHAnsi" w:cs="Times New Roman"/>
          <w:sz w:val="24"/>
          <w:szCs w:val="24"/>
        </w:rPr>
      </w:pPr>
    </w:p>
    <w:p w14:paraId="04A67DE4" w14:textId="77777777" w:rsidR="00D40C67" w:rsidRDefault="00D40C67" w:rsidP="005578B7">
      <w:pPr>
        <w:pStyle w:val="ListParagraph"/>
        <w:ind w:left="851"/>
        <w:rPr>
          <w:rFonts w:asciiTheme="majorHAnsi" w:hAnsiTheme="majorHAnsi" w:cs="Times New Roman"/>
          <w:sz w:val="24"/>
          <w:szCs w:val="24"/>
        </w:rPr>
      </w:pPr>
    </w:p>
    <w:p w14:paraId="0238588B" w14:textId="77777777" w:rsidR="00D40C67" w:rsidRDefault="00D40C67" w:rsidP="005578B7">
      <w:pPr>
        <w:pStyle w:val="ListParagraph"/>
        <w:ind w:left="851"/>
        <w:rPr>
          <w:rFonts w:asciiTheme="majorHAnsi" w:hAnsiTheme="majorHAnsi" w:cs="Times New Roman"/>
          <w:sz w:val="24"/>
          <w:szCs w:val="24"/>
        </w:rPr>
      </w:pPr>
    </w:p>
    <w:p w14:paraId="46A96F43" w14:textId="77777777" w:rsidR="00D40C67" w:rsidRDefault="00D40C67" w:rsidP="005578B7">
      <w:pPr>
        <w:pStyle w:val="ListParagraph"/>
        <w:ind w:left="851"/>
        <w:rPr>
          <w:rFonts w:asciiTheme="majorHAnsi" w:hAnsiTheme="majorHAnsi" w:cs="Times New Roman"/>
          <w:sz w:val="24"/>
          <w:szCs w:val="24"/>
        </w:rPr>
      </w:pPr>
    </w:p>
    <w:p w14:paraId="419C64E6" w14:textId="77777777" w:rsidR="004154E9" w:rsidRDefault="004154E9" w:rsidP="005578B7">
      <w:pPr>
        <w:pStyle w:val="ListParagraph"/>
        <w:ind w:left="851"/>
        <w:rPr>
          <w:rFonts w:asciiTheme="majorHAnsi" w:hAnsiTheme="majorHAnsi" w:cs="Times New Roman"/>
          <w:sz w:val="24"/>
          <w:szCs w:val="24"/>
        </w:rPr>
      </w:pPr>
    </w:p>
    <w:p w14:paraId="27D79C7B" w14:textId="77777777" w:rsidR="004154E9" w:rsidRDefault="004154E9" w:rsidP="005578B7">
      <w:pPr>
        <w:pStyle w:val="ListParagraph"/>
        <w:ind w:left="851"/>
        <w:rPr>
          <w:rFonts w:asciiTheme="majorHAnsi" w:hAnsiTheme="majorHAnsi" w:cs="Times New Roman"/>
          <w:sz w:val="24"/>
          <w:szCs w:val="24"/>
        </w:rPr>
      </w:pPr>
    </w:p>
    <w:p w14:paraId="159AD4C2" w14:textId="77777777" w:rsidR="004154E9" w:rsidRDefault="004154E9" w:rsidP="005578B7">
      <w:pPr>
        <w:pStyle w:val="ListParagraph"/>
        <w:ind w:left="851"/>
        <w:rPr>
          <w:rFonts w:asciiTheme="majorHAnsi" w:hAnsiTheme="majorHAnsi" w:cs="Times New Roman"/>
          <w:sz w:val="24"/>
          <w:szCs w:val="24"/>
        </w:rPr>
      </w:pPr>
    </w:p>
    <w:p w14:paraId="6FE0C12F" w14:textId="77777777" w:rsidR="004154E9" w:rsidRDefault="004154E9" w:rsidP="005578B7">
      <w:pPr>
        <w:pStyle w:val="ListParagraph"/>
        <w:ind w:left="851"/>
        <w:rPr>
          <w:rFonts w:asciiTheme="majorHAnsi" w:hAnsiTheme="majorHAnsi" w:cs="Times New Roman"/>
          <w:sz w:val="24"/>
          <w:szCs w:val="24"/>
        </w:rPr>
      </w:pPr>
    </w:p>
    <w:p w14:paraId="1C601672" w14:textId="77777777" w:rsidR="004154E9" w:rsidRDefault="004154E9" w:rsidP="005578B7">
      <w:pPr>
        <w:pStyle w:val="ListParagraph"/>
        <w:ind w:left="851"/>
        <w:rPr>
          <w:rFonts w:asciiTheme="majorHAnsi" w:hAnsiTheme="majorHAnsi" w:cs="Times New Roman"/>
          <w:sz w:val="24"/>
          <w:szCs w:val="24"/>
        </w:rPr>
      </w:pPr>
    </w:p>
    <w:p w14:paraId="2D49DC52" w14:textId="77777777" w:rsidR="004154E9" w:rsidRDefault="004154E9" w:rsidP="005578B7">
      <w:pPr>
        <w:pStyle w:val="ListParagraph"/>
        <w:ind w:left="851"/>
        <w:rPr>
          <w:rFonts w:asciiTheme="majorHAnsi" w:hAnsiTheme="majorHAnsi" w:cs="Times New Roman"/>
          <w:sz w:val="24"/>
          <w:szCs w:val="24"/>
        </w:rPr>
      </w:pPr>
    </w:p>
    <w:p w14:paraId="05960584" w14:textId="77777777" w:rsidR="004154E9" w:rsidRDefault="004154E9" w:rsidP="005578B7">
      <w:pPr>
        <w:pStyle w:val="ListParagraph"/>
        <w:ind w:left="851"/>
        <w:rPr>
          <w:rFonts w:asciiTheme="majorHAnsi" w:hAnsiTheme="majorHAnsi" w:cs="Times New Roman"/>
          <w:sz w:val="24"/>
          <w:szCs w:val="24"/>
        </w:rPr>
      </w:pPr>
    </w:p>
    <w:p w14:paraId="675E569E" w14:textId="77777777" w:rsidR="004154E9" w:rsidRDefault="004154E9" w:rsidP="005578B7">
      <w:pPr>
        <w:pStyle w:val="ListParagraph"/>
        <w:ind w:left="851"/>
        <w:rPr>
          <w:rFonts w:asciiTheme="majorHAnsi" w:hAnsiTheme="majorHAnsi" w:cs="Times New Roman"/>
          <w:sz w:val="24"/>
          <w:szCs w:val="24"/>
        </w:rPr>
      </w:pPr>
    </w:p>
    <w:p w14:paraId="6D1E41F8" w14:textId="77777777" w:rsidR="00D40C67" w:rsidRPr="00324DCD" w:rsidRDefault="00D40C67" w:rsidP="005578B7">
      <w:pPr>
        <w:pStyle w:val="ListParagraph"/>
        <w:ind w:left="851"/>
        <w:rPr>
          <w:rFonts w:asciiTheme="majorHAnsi" w:hAnsiTheme="majorHAnsi" w:cs="Times New Roman"/>
          <w:sz w:val="24"/>
          <w:szCs w:val="24"/>
        </w:rPr>
      </w:pPr>
    </w:p>
    <w:p w14:paraId="3CD5B5C3" w14:textId="77777777" w:rsidR="005E4F92" w:rsidRPr="00324DCD" w:rsidRDefault="005E4F92" w:rsidP="005578B7">
      <w:pPr>
        <w:pStyle w:val="ListParagraph"/>
        <w:ind w:left="851"/>
        <w:rPr>
          <w:rFonts w:asciiTheme="majorHAnsi" w:hAnsiTheme="majorHAnsi" w:cs="Times New Roman"/>
          <w:sz w:val="24"/>
          <w:szCs w:val="24"/>
        </w:rPr>
      </w:pPr>
    </w:p>
    <w:p w14:paraId="6DAADE9E" w14:textId="37A8737F" w:rsidR="00372F65" w:rsidRPr="00D40C67" w:rsidRDefault="002E2D86" w:rsidP="005D5AB3">
      <w:pPr>
        <w:pStyle w:val="ListParagraph"/>
        <w:numPr>
          <w:ilvl w:val="0"/>
          <w:numId w:val="9"/>
        </w:numPr>
        <w:ind w:left="851" w:hanging="284"/>
        <w:rPr>
          <w:rFonts w:asciiTheme="majorHAnsi" w:hAnsiTheme="majorHAnsi"/>
          <w:color w:val="FF0000"/>
          <w:sz w:val="24"/>
          <w:szCs w:val="24"/>
        </w:rPr>
      </w:pPr>
      <w:r w:rsidRPr="00D40C67">
        <w:rPr>
          <w:rFonts w:asciiTheme="majorHAnsi" w:hAnsiTheme="majorHAnsi"/>
          <w:sz w:val="24"/>
          <w:szCs w:val="24"/>
          <w:u w:val="single"/>
        </w:rPr>
        <w:t>Protocole optionnel</w:t>
      </w:r>
      <w:r w:rsidRPr="00D40C67">
        <w:rPr>
          <w:rFonts w:asciiTheme="majorHAnsi" w:hAnsiTheme="majorHAnsi"/>
          <w:sz w:val="24"/>
          <w:szCs w:val="24"/>
        </w:rPr>
        <w:t xml:space="preserve"> : </w:t>
      </w:r>
      <w:r w:rsidR="00F61E4E" w:rsidRPr="00D40C67">
        <w:rPr>
          <w:rFonts w:asciiTheme="majorHAnsi" w:hAnsiTheme="majorHAnsi"/>
          <w:sz w:val="24"/>
          <w:szCs w:val="24"/>
        </w:rPr>
        <w:t xml:space="preserve">Dans sa déclaration </w:t>
      </w:r>
      <w:r w:rsidR="00D40C67" w:rsidRPr="00D40C67">
        <w:rPr>
          <w:rFonts w:asciiTheme="majorHAnsi" w:hAnsiTheme="majorHAnsi"/>
          <w:sz w:val="24"/>
          <w:szCs w:val="24"/>
        </w:rPr>
        <w:t>d’</w:t>
      </w:r>
      <w:r w:rsidR="00F61E4E" w:rsidRPr="00D40C67">
        <w:rPr>
          <w:rFonts w:asciiTheme="majorHAnsi" w:hAnsiTheme="majorHAnsi"/>
          <w:sz w:val="24"/>
          <w:szCs w:val="24"/>
        </w:rPr>
        <w:t>octobre 2018,</w:t>
      </w:r>
      <w:r w:rsidR="00F61E4E" w:rsidRPr="00D40C67">
        <w:rPr>
          <w:rFonts w:asciiTheme="majorHAnsi" w:hAnsiTheme="majorHAnsi"/>
          <w:i/>
          <w:sz w:val="24"/>
          <w:szCs w:val="24"/>
        </w:rPr>
        <w:t xml:space="preserve"> </w:t>
      </w:r>
      <w:r w:rsidR="00372F65" w:rsidRPr="00D40C67">
        <w:rPr>
          <w:rFonts w:asciiTheme="majorHAnsi" w:hAnsiTheme="majorHAnsi"/>
          <w:sz w:val="24"/>
          <w:szCs w:val="24"/>
        </w:rPr>
        <w:t xml:space="preserve">la CNCDH regrettait que le protocole, qui contient pourtant un élément essentiel et central </w:t>
      </w:r>
      <w:r w:rsidR="000969A6">
        <w:rPr>
          <w:rFonts w:asciiTheme="majorHAnsi" w:hAnsiTheme="majorHAnsi"/>
          <w:sz w:val="24"/>
          <w:szCs w:val="24"/>
        </w:rPr>
        <w:t xml:space="preserve">quant à l’effectivité du projet de traité </w:t>
      </w:r>
      <w:r w:rsidR="00372F65" w:rsidRPr="00D40C67">
        <w:rPr>
          <w:rFonts w:asciiTheme="majorHAnsi" w:hAnsiTheme="majorHAnsi"/>
          <w:sz w:val="24"/>
          <w:szCs w:val="24"/>
        </w:rPr>
        <w:t>(mécanisme national de mise en œuvre des obligations contenues dans le traité afin d’en assurer le suivi)</w:t>
      </w:r>
      <w:r w:rsidR="000969A6">
        <w:rPr>
          <w:rFonts w:asciiTheme="majorHAnsi" w:hAnsiTheme="majorHAnsi"/>
          <w:sz w:val="24"/>
          <w:szCs w:val="24"/>
        </w:rPr>
        <w:t>,</w:t>
      </w:r>
      <w:r w:rsidR="00372F65" w:rsidRPr="00D40C67">
        <w:rPr>
          <w:rFonts w:asciiTheme="majorHAnsi" w:hAnsiTheme="majorHAnsi"/>
          <w:sz w:val="24"/>
          <w:szCs w:val="24"/>
        </w:rPr>
        <w:t xml:space="preserve"> ait été dissocié du corps du projet d</w:t>
      </w:r>
      <w:r w:rsidR="000969A6">
        <w:rPr>
          <w:rFonts w:asciiTheme="majorHAnsi" w:hAnsiTheme="majorHAnsi"/>
          <w:sz w:val="24"/>
          <w:szCs w:val="24"/>
        </w:rPr>
        <w:t>’instrument contraignant</w:t>
      </w:r>
      <w:r w:rsidR="00372F65" w:rsidRPr="00D40C67">
        <w:rPr>
          <w:rFonts w:asciiTheme="majorHAnsi" w:hAnsiTheme="majorHAnsi"/>
          <w:sz w:val="24"/>
          <w:szCs w:val="24"/>
        </w:rPr>
        <w:t xml:space="preserve">. Elle s’inquiétait également de l’articulation </w:t>
      </w:r>
      <w:r w:rsidR="000969A6">
        <w:rPr>
          <w:rFonts w:asciiTheme="majorHAnsi" w:hAnsiTheme="majorHAnsi"/>
          <w:sz w:val="24"/>
          <w:szCs w:val="24"/>
        </w:rPr>
        <w:t xml:space="preserve">faite </w:t>
      </w:r>
      <w:r w:rsidR="00372F65" w:rsidRPr="00D40C67">
        <w:rPr>
          <w:rFonts w:asciiTheme="majorHAnsi" w:hAnsiTheme="majorHAnsi"/>
          <w:sz w:val="24"/>
          <w:szCs w:val="24"/>
        </w:rPr>
        <w:t xml:space="preserve">entre les deux textes, le protocole traitant à la fois des mécanismes de contrôle national et international. </w:t>
      </w:r>
      <w:r w:rsidR="000969A6">
        <w:rPr>
          <w:rFonts w:asciiTheme="majorHAnsi" w:hAnsiTheme="majorHAnsi"/>
          <w:sz w:val="24"/>
          <w:szCs w:val="24"/>
        </w:rPr>
        <w:t>De même, l</w:t>
      </w:r>
      <w:r w:rsidR="00372F65" w:rsidRPr="00D40C67">
        <w:rPr>
          <w:rFonts w:asciiTheme="majorHAnsi" w:hAnsiTheme="majorHAnsi"/>
          <w:sz w:val="24"/>
          <w:szCs w:val="24"/>
        </w:rPr>
        <w:t>a Commission soulignait qu’une attention particulière devrait également être portée au contenu et à l’articulation de ces mécanismes de contrôle avec d’autres dispositifs existants prévus par l’O</w:t>
      </w:r>
      <w:r w:rsidR="00342EF7">
        <w:rPr>
          <w:rFonts w:asciiTheme="majorHAnsi" w:hAnsiTheme="majorHAnsi"/>
          <w:sz w:val="24"/>
          <w:szCs w:val="24"/>
        </w:rPr>
        <w:t>rganisation pour la coopération et le développement économique (OCDE)</w:t>
      </w:r>
      <w:r w:rsidR="00372F65" w:rsidRPr="00D40C67">
        <w:rPr>
          <w:rFonts w:asciiTheme="majorHAnsi" w:hAnsiTheme="majorHAnsi"/>
          <w:sz w:val="24"/>
          <w:szCs w:val="24"/>
        </w:rPr>
        <w:t xml:space="preserve">, </w:t>
      </w:r>
      <w:r w:rsidR="000826B5">
        <w:rPr>
          <w:rFonts w:asciiTheme="majorHAnsi" w:hAnsiTheme="majorHAnsi"/>
          <w:sz w:val="24"/>
          <w:szCs w:val="24"/>
        </w:rPr>
        <w:t>l’Organisation internationale du travail (OIT), le Comité des</w:t>
      </w:r>
      <w:r w:rsidR="00B05D24">
        <w:rPr>
          <w:rFonts w:asciiTheme="majorHAnsi" w:hAnsiTheme="majorHAnsi"/>
          <w:sz w:val="24"/>
          <w:szCs w:val="24"/>
        </w:rPr>
        <w:t xml:space="preserve"> droits</w:t>
      </w:r>
      <w:r w:rsidR="000826B5">
        <w:rPr>
          <w:rFonts w:asciiTheme="majorHAnsi" w:hAnsiTheme="majorHAnsi"/>
          <w:sz w:val="24"/>
          <w:szCs w:val="24"/>
        </w:rPr>
        <w:t xml:space="preserve"> écono</w:t>
      </w:r>
      <w:r w:rsidR="00B05D24">
        <w:rPr>
          <w:rFonts w:asciiTheme="majorHAnsi" w:hAnsiTheme="majorHAnsi"/>
          <w:sz w:val="24"/>
          <w:szCs w:val="24"/>
        </w:rPr>
        <w:t xml:space="preserve">miques, sociaux et culturels (Comité </w:t>
      </w:r>
      <w:r w:rsidR="000826B5">
        <w:rPr>
          <w:rFonts w:asciiTheme="majorHAnsi" w:hAnsiTheme="majorHAnsi"/>
          <w:sz w:val="24"/>
          <w:szCs w:val="24"/>
        </w:rPr>
        <w:t xml:space="preserve">DESC) et </w:t>
      </w:r>
      <w:r w:rsidR="00507E66">
        <w:rPr>
          <w:rFonts w:asciiTheme="majorHAnsi" w:hAnsiTheme="majorHAnsi"/>
          <w:sz w:val="24"/>
          <w:szCs w:val="24"/>
        </w:rPr>
        <w:t xml:space="preserve">le </w:t>
      </w:r>
      <w:r w:rsidR="000826B5">
        <w:rPr>
          <w:rFonts w:asciiTheme="majorHAnsi" w:hAnsiTheme="majorHAnsi"/>
          <w:sz w:val="24"/>
          <w:szCs w:val="24"/>
        </w:rPr>
        <w:t xml:space="preserve">Comité européen des droits sociaux, </w:t>
      </w:r>
      <w:r w:rsidR="00372F65" w:rsidRPr="00D40C67">
        <w:rPr>
          <w:rFonts w:asciiTheme="majorHAnsi" w:hAnsiTheme="majorHAnsi"/>
          <w:sz w:val="24"/>
          <w:szCs w:val="24"/>
        </w:rPr>
        <w:t xml:space="preserve">et ce, afin d’assurer une cohérence d’ensemble. La CNCDH renouvelle ces inquiétudes et ces </w:t>
      </w:r>
      <w:r w:rsidR="0074477E" w:rsidRPr="00D40C67">
        <w:rPr>
          <w:rFonts w:asciiTheme="majorHAnsi" w:hAnsiTheme="majorHAnsi"/>
          <w:sz w:val="24"/>
          <w:szCs w:val="24"/>
        </w:rPr>
        <w:t>r</w:t>
      </w:r>
      <w:r w:rsidR="00372F65" w:rsidRPr="00D40C67">
        <w:rPr>
          <w:rFonts w:asciiTheme="majorHAnsi" w:hAnsiTheme="majorHAnsi"/>
          <w:sz w:val="24"/>
          <w:szCs w:val="24"/>
        </w:rPr>
        <w:t xml:space="preserve">ecommandations. </w:t>
      </w:r>
    </w:p>
    <w:p w14:paraId="4F2B3900" w14:textId="77777777" w:rsidR="000969A6" w:rsidRDefault="000969A6" w:rsidP="00372F65">
      <w:pPr>
        <w:pStyle w:val="ListParagraph"/>
        <w:ind w:left="851"/>
        <w:rPr>
          <w:rFonts w:asciiTheme="majorHAnsi" w:hAnsiTheme="majorHAnsi"/>
          <w:sz w:val="24"/>
          <w:szCs w:val="24"/>
        </w:rPr>
      </w:pPr>
    </w:p>
    <w:p w14:paraId="48369A87" w14:textId="36A94385" w:rsidR="00E821C1" w:rsidRPr="00324DCD" w:rsidRDefault="00F61E4E" w:rsidP="00372F65">
      <w:pPr>
        <w:pStyle w:val="ListParagraph"/>
        <w:ind w:left="851"/>
        <w:rPr>
          <w:rFonts w:asciiTheme="majorHAnsi" w:hAnsiTheme="majorHAnsi"/>
          <w:sz w:val="24"/>
          <w:szCs w:val="24"/>
        </w:rPr>
      </w:pPr>
      <w:r w:rsidRPr="00324DCD">
        <w:rPr>
          <w:rFonts w:asciiTheme="majorHAnsi" w:hAnsiTheme="majorHAnsi"/>
          <w:sz w:val="24"/>
          <w:szCs w:val="24"/>
        </w:rPr>
        <w:t xml:space="preserve">Toutefois, </w:t>
      </w:r>
      <w:r w:rsidR="005E4F92" w:rsidRPr="00324DCD">
        <w:rPr>
          <w:rFonts w:asciiTheme="majorHAnsi" w:hAnsiTheme="majorHAnsi"/>
          <w:sz w:val="24"/>
          <w:szCs w:val="24"/>
        </w:rPr>
        <w:t>s’agissant du</w:t>
      </w:r>
      <w:r w:rsidRPr="00324DCD">
        <w:rPr>
          <w:rFonts w:asciiTheme="majorHAnsi" w:hAnsiTheme="majorHAnsi"/>
          <w:sz w:val="24"/>
          <w:szCs w:val="24"/>
        </w:rPr>
        <w:t xml:space="preserve"> mécanisme de contr</w:t>
      </w:r>
      <w:r w:rsidR="0074477E" w:rsidRPr="00324DCD">
        <w:rPr>
          <w:rFonts w:asciiTheme="majorHAnsi" w:hAnsiTheme="majorHAnsi"/>
          <w:sz w:val="24"/>
          <w:szCs w:val="24"/>
        </w:rPr>
        <w:t xml:space="preserve">ôle national, la CNCDH salue la possibilité évoquée dans le protocole de confier cette mission </w:t>
      </w:r>
      <w:r w:rsidR="00056627" w:rsidRPr="00324DCD">
        <w:rPr>
          <w:rFonts w:asciiTheme="majorHAnsi" w:hAnsiTheme="majorHAnsi"/>
          <w:sz w:val="24"/>
          <w:szCs w:val="24"/>
        </w:rPr>
        <w:t>aux institutions nationales de protection des droits de l’homme</w:t>
      </w:r>
      <w:r w:rsidR="00DD3AF2" w:rsidRPr="00324DCD">
        <w:rPr>
          <w:rFonts w:asciiTheme="majorHAnsi" w:hAnsiTheme="majorHAnsi"/>
          <w:sz w:val="24"/>
          <w:szCs w:val="24"/>
        </w:rPr>
        <w:t xml:space="preserve">. </w:t>
      </w:r>
      <w:r w:rsidR="00056627" w:rsidRPr="00324DCD">
        <w:rPr>
          <w:rFonts w:asciiTheme="majorHAnsi" w:hAnsiTheme="majorHAnsi"/>
          <w:sz w:val="24"/>
          <w:szCs w:val="24"/>
        </w:rPr>
        <w:t xml:space="preserve">Elle insiste </w:t>
      </w:r>
      <w:r w:rsidR="00685B36" w:rsidRPr="00324DCD">
        <w:rPr>
          <w:rFonts w:asciiTheme="majorHAnsi" w:hAnsiTheme="majorHAnsi"/>
          <w:sz w:val="24"/>
          <w:szCs w:val="24"/>
        </w:rPr>
        <w:t xml:space="preserve">sur l’importance de </w:t>
      </w:r>
      <w:r w:rsidR="005E4F92" w:rsidRPr="00324DCD">
        <w:rPr>
          <w:rFonts w:asciiTheme="majorHAnsi" w:hAnsiTheme="majorHAnsi"/>
          <w:sz w:val="24"/>
          <w:szCs w:val="24"/>
        </w:rPr>
        <w:t xml:space="preserve">la mise en place d’un </w:t>
      </w:r>
      <w:r w:rsidR="00CB6193">
        <w:rPr>
          <w:rFonts w:asciiTheme="majorHAnsi" w:hAnsiTheme="majorHAnsi"/>
          <w:sz w:val="24"/>
          <w:szCs w:val="24"/>
        </w:rPr>
        <w:t>mécanisme de contrôle</w:t>
      </w:r>
      <w:r w:rsidR="005E4F92" w:rsidRPr="00324DCD">
        <w:rPr>
          <w:rFonts w:asciiTheme="majorHAnsi" w:hAnsiTheme="majorHAnsi"/>
          <w:sz w:val="24"/>
          <w:szCs w:val="24"/>
        </w:rPr>
        <w:t>, préalable fondamental pour assurer une mise en œuvre effective du traité</w:t>
      </w:r>
      <w:r w:rsidR="00862098">
        <w:rPr>
          <w:rFonts w:asciiTheme="majorHAnsi" w:hAnsiTheme="majorHAnsi"/>
          <w:sz w:val="24"/>
          <w:szCs w:val="24"/>
        </w:rPr>
        <w:t>.</w:t>
      </w:r>
    </w:p>
    <w:p w14:paraId="71D30B9A" w14:textId="77777777" w:rsidR="00F61E4E" w:rsidRDefault="00F61E4E" w:rsidP="00372F65">
      <w:pPr>
        <w:pStyle w:val="ListParagraph"/>
        <w:ind w:left="851"/>
        <w:rPr>
          <w:rFonts w:asciiTheme="majorHAnsi" w:hAnsiTheme="majorHAnsi"/>
          <w:sz w:val="24"/>
          <w:szCs w:val="24"/>
        </w:rPr>
      </w:pPr>
    </w:p>
    <w:p w14:paraId="4870F5A0" w14:textId="77777777" w:rsidR="000969A6" w:rsidRDefault="000969A6" w:rsidP="00372F65">
      <w:pPr>
        <w:pStyle w:val="ListParagraph"/>
        <w:ind w:left="851"/>
        <w:rPr>
          <w:rFonts w:asciiTheme="majorHAnsi" w:hAnsiTheme="majorHAnsi"/>
          <w:sz w:val="24"/>
          <w:szCs w:val="24"/>
        </w:rPr>
      </w:pPr>
    </w:p>
    <w:p w14:paraId="308BDD82" w14:textId="77777777" w:rsidR="000969A6" w:rsidRDefault="000969A6" w:rsidP="00372F65">
      <w:pPr>
        <w:pStyle w:val="ListParagraph"/>
        <w:ind w:left="851"/>
        <w:rPr>
          <w:rFonts w:asciiTheme="majorHAnsi" w:hAnsiTheme="majorHAnsi"/>
          <w:sz w:val="24"/>
          <w:szCs w:val="24"/>
        </w:rPr>
      </w:pPr>
    </w:p>
    <w:p w14:paraId="00BD8AAA" w14:textId="77777777" w:rsidR="000969A6" w:rsidRDefault="000969A6" w:rsidP="00372F65">
      <w:pPr>
        <w:pStyle w:val="ListParagraph"/>
        <w:ind w:left="851"/>
        <w:rPr>
          <w:rFonts w:asciiTheme="majorHAnsi" w:hAnsiTheme="majorHAnsi"/>
          <w:sz w:val="24"/>
          <w:szCs w:val="24"/>
        </w:rPr>
      </w:pPr>
    </w:p>
    <w:p w14:paraId="027D4559" w14:textId="77777777" w:rsidR="000969A6" w:rsidRDefault="000969A6" w:rsidP="00372F65">
      <w:pPr>
        <w:pStyle w:val="ListParagraph"/>
        <w:ind w:left="851"/>
        <w:rPr>
          <w:rFonts w:asciiTheme="majorHAnsi" w:hAnsiTheme="majorHAnsi"/>
          <w:sz w:val="24"/>
          <w:szCs w:val="24"/>
        </w:rPr>
      </w:pPr>
    </w:p>
    <w:p w14:paraId="1ADA138B" w14:textId="77777777" w:rsidR="000969A6" w:rsidRDefault="000969A6" w:rsidP="00372F65">
      <w:pPr>
        <w:pStyle w:val="ListParagraph"/>
        <w:ind w:left="851"/>
        <w:rPr>
          <w:rFonts w:asciiTheme="majorHAnsi" w:hAnsiTheme="majorHAnsi"/>
          <w:sz w:val="24"/>
          <w:szCs w:val="24"/>
        </w:rPr>
      </w:pPr>
    </w:p>
    <w:p w14:paraId="3B2C80EA" w14:textId="77777777" w:rsidR="000969A6" w:rsidRDefault="000969A6" w:rsidP="00372F65">
      <w:pPr>
        <w:pStyle w:val="ListParagraph"/>
        <w:ind w:left="851"/>
        <w:rPr>
          <w:rFonts w:asciiTheme="majorHAnsi" w:hAnsiTheme="majorHAnsi"/>
          <w:sz w:val="24"/>
          <w:szCs w:val="24"/>
        </w:rPr>
      </w:pPr>
    </w:p>
    <w:p w14:paraId="355A7227" w14:textId="77777777" w:rsidR="000969A6" w:rsidRDefault="000969A6" w:rsidP="00372F65">
      <w:pPr>
        <w:pStyle w:val="ListParagraph"/>
        <w:ind w:left="851"/>
        <w:rPr>
          <w:rFonts w:asciiTheme="majorHAnsi" w:hAnsiTheme="majorHAnsi"/>
          <w:sz w:val="24"/>
          <w:szCs w:val="24"/>
        </w:rPr>
      </w:pPr>
    </w:p>
    <w:p w14:paraId="69DA1BEE" w14:textId="77777777" w:rsidR="000969A6" w:rsidRDefault="000969A6" w:rsidP="00372F65">
      <w:pPr>
        <w:pStyle w:val="ListParagraph"/>
        <w:ind w:left="851"/>
        <w:rPr>
          <w:rFonts w:asciiTheme="majorHAnsi" w:hAnsiTheme="majorHAnsi"/>
          <w:sz w:val="24"/>
          <w:szCs w:val="24"/>
        </w:rPr>
      </w:pPr>
    </w:p>
    <w:p w14:paraId="6F6E6A86" w14:textId="77777777" w:rsidR="000969A6" w:rsidRDefault="000969A6" w:rsidP="00372F65">
      <w:pPr>
        <w:pStyle w:val="ListParagraph"/>
        <w:ind w:left="851"/>
        <w:rPr>
          <w:rFonts w:asciiTheme="majorHAnsi" w:hAnsiTheme="majorHAnsi"/>
          <w:sz w:val="24"/>
          <w:szCs w:val="24"/>
        </w:rPr>
      </w:pPr>
    </w:p>
    <w:p w14:paraId="79F99A8D" w14:textId="77777777" w:rsidR="000969A6" w:rsidRDefault="000969A6" w:rsidP="00372F65">
      <w:pPr>
        <w:pStyle w:val="ListParagraph"/>
        <w:ind w:left="851"/>
        <w:rPr>
          <w:rFonts w:asciiTheme="majorHAnsi" w:hAnsiTheme="majorHAnsi"/>
          <w:sz w:val="24"/>
          <w:szCs w:val="24"/>
        </w:rPr>
      </w:pPr>
    </w:p>
    <w:p w14:paraId="77AB076F" w14:textId="77777777" w:rsidR="000969A6" w:rsidRDefault="000969A6" w:rsidP="00372F65">
      <w:pPr>
        <w:pStyle w:val="ListParagraph"/>
        <w:ind w:left="851"/>
        <w:rPr>
          <w:rFonts w:asciiTheme="majorHAnsi" w:hAnsiTheme="majorHAnsi"/>
          <w:sz w:val="24"/>
          <w:szCs w:val="24"/>
        </w:rPr>
      </w:pPr>
    </w:p>
    <w:p w14:paraId="77492309" w14:textId="77777777" w:rsidR="000969A6" w:rsidRDefault="000969A6" w:rsidP="00372F65">
      <w:pPr>
        <w:pStyle w:val="ListParagraph"/>
        <w:ind w:left="851"/>
        <w:rPr>
          <w:rFonts w:asciiTheme="majorHAnsi" w:hAnsiTheme="majorHAnsi"/>
          <w:sz w:val="24"/>
          <w:szCs w:val="24"/>
        </w:rPr>
      </w:pPr>
    </w:p>
    <w:p w14:paraId="4BD1F7E5" w14:textId="77777777" w:rsidR="000969A6" w:rsidRDefault="000969A6" w:rsidP="00372F65">
      <w:pPr>
        <w:pStyle w:val="ListParagraph"/>
        <w:ind w:left="851"/>
        <w:rPr>
          <w:rFonts w:asciiTheme="majorHAnsi" w:hAnsiTheme="majorHAnsi"/>
          <w:sz w:val="24"/>
          <w:szCs w:val="24"/>
        </w:rPr>
      </w:pPr>
    </w:p>
    <w:p w14:paraId="511FEE1F" w14:textId="77777777" w:rsidR="000969A6" w:rsidRDefault="000969A6" w:rsidP="00372F65">
      <w:pPr>
        <w:pStyle w:val="ListParagraph"/>
        <w:ind w:left="851"/>
        <w:rPr>
          <w:rFonts w:asciiTheme="majorHAnsi" w:hAnsiTheme="majorHAnsi"/>
          <w:sz w:val="24"/>
          <w:szCs w:val="24"/>
        </w:rPr>
      </w:pPr>
    </w:p>
    <w:p w14:paraId="50FF049C" w14:textId="77777777" w:rsidR="000969A6" w:rsidRDefault="000969A6" w:rsidP="00372F65">
      <w:pPr>
        <w:pStyle w:val="ListParagraph"/>
        <w:ind w:left="851"/>
        <w:rPr>
          <w:rFonts w:asciiTheme="majorHAnsi" w:hAnsiTheme="majorHAnsi"/>
          <w:sz w:val="24"/>
          <w:szCs w:val="24"/>
        </w:rPr>
      </w:pPr>
    </w:p>
    <w:p w14:paraId="6260BD58" w14:textId="77777777" w:rsidR="000969A6" w:rsidRDefault="000969A6" w:rsidP="00372F65">
      <w:pPr>
        <w:pStyle w:val="ListParagraph"/>
        <w:ind w:left="851"/>
        <w:rPr>
          <w:rFonts w:asciiTheme="majorHAnsi" w:hAnsiTheme="majorHAnsi"/>
          <w:sz w:val="24"/>
          <w:szCs w:val="24"/>
        </w:rPr>
      </w:pPr>
    </w:p>
    <w:p w14:paraId="344CCFA8" w14:textId="77777777" w:rsidR="000969A6" w:rsidRDefault="000969A6" w:rsidP="00372F65">
      <w:pPr>
        <w:pStyle w:val="ListParagraph"/>
        <w:ind w:left="851"/>
        <w:rPr>
          <w:rFonts w:asciiTheme="majorHAnsi" w:hAnsiTheme="majorHAnsi"/>
          <w:sz w:val="24"/>
          <w:szCs w:val="24"/>
        </w:rPr>
      </w:pPr>
    </w:p>
    <w:p w14:paraId="01C72F16" w14:textId="77777777" w:rsidR="000969A6" w:rsidRDefault="000969A6" w:rsidP="00372F65">
      <w:pPr>
        <w:pStyle w:val="ListParagraph"/>
        <w:ind w:left="851"/>
        <w:rPr>
          <w:rFonts w:asciiTheme="majorHAnsi" w:hAnsiTheme="majorHAnsi"/>
          <w:sz w:val="24"/>
          <w:szCs w:val="24"/>
        </w:rPr>
      </w:pPr>
    </w:p>
    <w:p w14:paraId="5166044E" w14:textId="77777777" w:rsidR="000969A6" w:rsidRDefault="000969A6" w:rsidP="00372F65">
      <w:pPr>
        <w:pStyle w:val="ListParagraph"/>
        <w:ind w:left="851"/>
        <w:rPr>
          <w:rFonts w:asciiTheme="majorHAnsi" w:hAnsiTheme="majorHAnsi"/>
          <w:sz w:val="24"/>
          <w:szCs w:val="24"/>
        </w:rPr>
      </w:pPr>
    </w:p>
    <w:p w14:paraId="51C00FB6" w14:textId="77777777" w:rsidR="000969A6" w:rsidRDefault="000969A6" w:rsidP="00372F65">
      <w:pPr>
        <w:pStyle w:val="ListParagraph"/>
        <w:ind w:left="851"/>
        <w:rPr>
          <w:rFonts w:asciiTheme="majorHAnsi" w:hAnsiTheme="majorHAnsi"/>
          <w:sz w:val="24"/>
          <w:szCs w:val="24"/>
        </w:rPr>
      </w:pPr>
    </w:p>
    <w:p w14:paraId="50278EC2" w14:textId="77777777" w:rsidR="000969A6" w:rsidRDefault="000969A6" w:rsidP="00372F65">
      <w:pPr>
        <w:pStyle w:val="ListParagraph"/>
        <w:ind w:left="851"/>
        <w:rPr>
          <w:rFonts w:asciiTheme="majorHAnsi" w:hAnsiTheme="majorHAnsi"/>
          <w:sz w:val="24"/>
          <w:szCs w:val="24"/>
        </w:rPr>
      </w:pPr>
    </w:p>
    <w:p w14:paraId="189C99EC" w14:textId="77777777" w:rsidR="000969A6" w:rsidRDefault="000969A6" w:rsidP="00372F65">
      <w:pPr>
        <w:pStyle w:val="ListParagraph"/>
        <w:ind w:left="851"/>
        <w:rPr>
          <w:rFonts w:asciiTheme="majorHAnsi" w:hAnsiTheme="majorHAnsi"/>
          <w:sz w:val="24"/>
          <w:szCs w:val="24"/>
        </w:rPr>
      </w:pPr>
    </w:p>
    <w:p w14:paraId="4AC9A65C" w14:textId="77777777" w:rsidR="000969A6" w:rsidRDefault="000969A6" w:rsidP="00372F65">
      <w:pPr>
        <w:pStyle w:val="ListParagraph"/>
        <w:ind w:left="851"/>
        <w:rPr>
          <w:rFonts w:asciiTheme="majorHAnsi" w:hAnsiTheme="majorHAnsi"/>
          <w:sz w:val="24"/>
          <w:szCs w:val="24"/>
        </w:rPr>
      </w:pPr>
    </w:p>
    <w:p w14:paraId="34FFF708" w14:textId="77777777" w:rsidR="000969A6" w:rsidRDefault="000969A6" w:rsidP="00372F65">
      <w:pPr>
        <w:pStyle w:val="ListParagraph"/>
        <w:ind w:left="851"/>
        <w:rPr>
          <w:rFonts w:asciiTheme="majorHAnsi" w:hAnsiTheme="majorHAnsi"/>
          <w:sz w:val="24"/>
          <w:szCs w:val="24"/>
        </w:rPr>
      </w:pPr>
    </w:p>
    <w:p w14:paraId="5AB4BF0D" w14:textId="77777777" w:rsidR="000969A6" w:rsidRDefault="000969A6" w:rsidP="00372F65">
      <w:pPr>
        <w:pStyle w:val="ListParagraph"/>
        <w:ind w:left="851"/>
        <w:rPr>
          <w:rFonts w:asciiTheme="majorHAnsi" w:hAnsiTheme="majorHAnsi"/>
          <w:sz w:val="24"/>
          <w:szCs w:val="24"/>
        </w:rPr>
      </w:pPr>
    </w:p>
    <w:p w14:paraId="4FD66985" w14:textId="77777777" w:rsidR="000969A6" w:rsidRDefault="000969A6" w:rsidP="00372F65">
      <w:pPr>
        <w:pStyle w:val="ListParagraph"/>
        <w:ind w:left="851"/>
        <w:rPr>
          <w:rFonts w:asciiTheme="majorHAnsi" w:hAnsiTheme="majorHAnsi"/>
          <w:sz w:val="24"/>
          <w:szCs w:val="24"/>
        </w:rPr>
      </w:pPr>
    </w:p>
    <w:p w14:paraId="0DE4D3C3" w14:textId="77777777" w:rsidR="00E821C1" w:rsidRPr="00324DCD" w:rsidRDefault="00E821C1" w:rsidP="0010677D">
      <w:pPr>
        <w:jc w:val="center"/>
        <w:rPr>
          <w:rFonts w:asciiTheme="majorHAnsi" w:hAnsiTheme="majorHAnsi"/>
          <w:b/>
          <w:sz w:val="24"/>
          <w:szCs w:val="24"/>
          <w:u w:val="single"/>
        </w:rPr>
      </w:pPr>
      <w:r w:rsidRPr="00324DCD">
        <w:rPr>
          <w:rFonts w:asciiTheme="majorHAnsi" w:hAnsiTheme="majorHAnsi"/>
          <w:b/>
          <w:sz w:val="24"/>
          <w:szCs w:val="24"/>
          <w:u w:val="single"/>
        </w:rPr>
        <w:t>Liste d</w:t>
      </w:r>
      <w:r w:rsidR="00332E5E" w:rsidRPr="00324DCD">
        <w:rPr>
          <w:rFonts w:asciiTheme="majorHAnsi" w:hAnsiTheme="majorHAnsi"/>
          <w:b/>
          <w:sz w:val="24"/>
          <w:szCs w:val="24"/>
          <w:u w:val="single"/>
        </w:rPr>
        <w:t>es personnes auditionnées</w:t>
      </w:r>
    </w:p>
    <w:p w14:paraId="1E9C87DB" w14:textId="77777777" w:rsidR="00332E5E" w:rsidRPr="00324DCD" w:rsidRDefault="00332E5E" w:rsidP="0010677D">
      <w:pPr>
        <w:jc w:val="center"/>
        <w:rPr>
          <w:rFonts w:asciiTheme="majorHAnsi" w:hAnsiTheme="majorHAnsi"/>
          <w:b/>
          <w:sz w:val="24"/>
          <w:szCs w:val="24"/>
          <w:u w:val="single"/>
        </w:rPr>
      </w:pPr>
    </w:p>
    <w:p w14:paraId="76148FE2" w14:textId="77777777" w:rsidR="00797527" w:rsidRPr="00324DCD" w:rsidRDefault="00332E5E" w:rsidP="00797527">
      <w:pPr>
        <w:spacing w:before="0" w:beforeAutospacing="0"/>
        <w:ind w:left="0" w:firstLine="0"/>
        <w:rPr>
          <w:rFonts w:asciiTheme="majorHAnsi" w:hAnsiTheme="majorHAnsi" w:cs="Times New Roman"/>
          <w:sz w:val="24"/>
          <w:szCs w:val="24"/>
        </w:rPr>
      </w:pPr>
      <w:r w:rsidRPr="00324DCD">
        <w:rPr>
          <w:rFonts w:asciiTheme="majorHAnsi" w:hAnsiTheme="majorHAnsi" w:cs="Times New Roman"/>
          <w:b/>
          <w:sz w:val="24"/>
          <w:szCs w:val="24"/>
        </w:rPr>
        <w:t>Swann Bommier,</w:t>
      </w:r>
      <w:r w:rsidRPr="00324DCD">
        <w:rPr>
          <w:rFonts w:asciiTheme="majorHAnsi" w:hAnsiTheme="majorHAnsi" w:cs="Times New Roman"/>
          <w:sz w:val="24"/>
          <w:szCs w:val="24"/>
        </w:rPr>
        <w:t xml:space="preserve"> </w:t>
      </w:r>
      <w:r w:rsidR="00797527" w:rsidRPr="00324DCD">
        <w:rPr>
          <w:rFonts w:asciiTheme="majorHAnsi" w:hAnsiTheme="majorHAnsi" w:cs="Times New Roman"/>
          <w:iCs/>
          <w:sz w:val="24"/>
          <w:szCs w:val="24"/>
        </w:rPr>
        <w:t>Chargé de plaidoyer sur la r</w:t>
      </w:r>
      <w:r w:rsidRPr="00324DCD">
        <w:rPr>
          <w:rFonts w:asciiTheme="majorHAnsi" w:hAnsiTheme="majorHAnsi" w:cs="Times New Roman"/>
          <w:iCs/>
          <w:sz w:val="24"/>
          <w:szCs w:val="24"/>
        </w:rPr>
        <w:t>égulation des entreprises multinationales</w:t>
      </w:r>
      <w:r w:rsidR="00797527" w:rsidRPr="00324DCD">
        <w:rPr>
          <w:rFonts w:asciiTheme="majorHAnsi" w:hAnsiTheme="majorHAnsi" w:cs="Times New Roman"/>
          <w:sz w:val="24"/>
          <w:szCs w:val="24"/>
        </w:rPr>
        <w:t xml:space="preserve"> </w:t>
      </w:r>
      <w:r w:rsidRPr="00324DCD">
        <w:rPr>
          <w:rFonts w:asciiTheme="majorHAnsi" w:hAnsiTheme="majorHAnsi" w:cs="Times New Roman"/>
          <w:sz w:val="24"/>
          <w:szCs w:val="24"/>
        </w:rPr>
        <w:t xml:space="preserve"> </w:t>
      </w:r>
      <w:r w:rsidR="00797527" w:rsidRPr="00324DCD">
        <w:rPr>
          <w:rFonts w:asciiTheme="majorHAnsi" w:hAnsiTheme="majorHAnsi" w:cs="Times New Roman"/>
          <w:sz w:val="24"/>
          <w:szCs w:val="24"/>
        </w:rPr>
        <w:t>au</w:t>
      </w:r>
      <w:r w:rsidRPr="00324DCD">
        <w:rPr>
          <w:rFonts w:asciiTheme="majorHAnsi" w:hAnsiTheme="majorHAnsi" w:cs="Times New Roman"/>
          <w:sz w:val="24"/>
          <w:szCs w:val="24"/>
        </w:rPr>
        <w:t xml:space="preserve"> CCFD- Terre Solidaire</w:t>
      </w:r>
      <w:r w:rsidR="00B80A75">
        <w:rPr>
          <w:rFonts w:asciiTheme="majorHAnsi" w:hAnsiTheme="majorHAnsi" w:cs="Times New Roman"/>
          <w:sz w:val="24"/>
          <w:szCs w:val="24"/>
        </w:rPr>
        <w:t>.</w:t>
      </w:r>
    </w:p>
    <w:p w14:paraId="0DE0BB34" w14:textId="77777777" w:rsidR="00332E5E" w:rsidRPr="00324DCD" w:rsidRDefault="00332E5E" w:rsidP="00797527">
      <w:pPr>
        <w:spacing w:before="0" w:beforeAutospacing="0"/>
        <w:ind w:left="0" w:firstLine="0"/>
        <w:rPr>
          <w:rFonts w:asciiTheme="majorHAnsi" w:hAnsiTheme="majorHAnsi" w:cs="Times New Roman"/>
          <w:sz w:val="24"/>
          <w:szCs w:val="24"/>
        </w:rPr>
      </w:pPr>
      <w:r w:rsidRPr="00324DCD">
        <w:rPr>
          <w:rFonts w:asciiTheme="majorHAnsi" w:hAnsiTheme="majorHAnsi" w:cs="Times New Roman"/>
          <w:sz w:val="24"/>
          <w:szCs w:val="24"/>
        </w:rPr>
        <w:t xml:space="preserve"> </w:t>
      </w:r>
    </w:p>
    <w:p w14:paraId="017A752A" w14:textId="77777777" w:rsidR="00797527" w:rsidRPr="00530EAD" w:rsidRDefault="00797527" w:rsidP="00797527">
      <w:pPr>
        <w:pStyle w:val="ListParagraph"/>
        <w:ind w:left="0"/>
        <w:contextualSpacing w:val="0"/>
        <w:rPr>
          <w:rFonts w:asciiTheme="majorHAnsi" w:hAnsiTheme="majorHAnsi" w:cs="Times New Roman"/>
          <w:sz w:val="24"/>
          <w:szCs w:val="24"/>
          <w:lang w:val="en-US"/>
        </w:rPr>
      </w:pPr>
      <w:r w:rsidRPr="00530EAD">
        <w:rPr>
          <w:rFonts w:asciiTheme="majorHAnsi" w:hAnsiTheme="majorHAnsi" w:cs="Times New Roman"/>
          <w:b/>
          <w:bCs/>
          <w:sz w:val="24"/>
          <w:szCs w:val="24"/>
          <w:lang w:val="en-US"/>
        </w:rPr>
        <w:t>Claire Bright</w:t>
      </w:r>
      <w:r w:rsidRPr="00530EAD">
        <w:rPr>
          <w:rFonts w:asciiTheme="majorHAnsi" w:hAnsiTheme="majorHAnsi" w:cs="Times New Roman"/>
          <w:sz w:val="24"/>
          <w:szCs w:val="24"/>
          <w:lang w:val="en-US"/>
        </w:rPr>
        <w:t xml:space="preserve">, </w:t>
      </w:r>
      <w:r w:rsidR="00530EAD" w:rsidRPr="00530EAD">
        <w:rPr>
          <w:rFonts w:asciiTheme="majorHAnsi" w:hAnsiTheme="majorHAnsi" w:cs="Times New Roman"/>
          <w:sz w:val="24"/>
          <w:szCs w:val="24"/>
          <w:lang w:val="en-US"/>
        </w:rPr>
        <w:t>Research Fellow in Business and Human Rights at the British Institute of International and Comparative Law</w:t>
      </w:r>
      <w:r w:rsidR="00530EAD">
        <w:rPr>
          <w:rFonts w:asciiTheme="majorHAnsi" w:hAnsiTheme="majorHAnsi" w:cs="Times New Roman"/>
          <w:sz w:val="24"/>
          <w:szCs w:val="24"/>
          <w:lang w:val="en-US"/>
        </w:rPr>
        <w:t>.</w:t>
      </w:r>
    </w:p>
    <w:p w14:paraId="51ED735F" w14:textId="77777777" w:rsidR="00324DCD" w:rsidRPr="00530EAD" w:rsidRDefault="00324DCD" w:rsidP="00797527">
      <w:pPr>
        <w:pStyle w:val="ListParagraph"/>
        <w:ind w:left="0"/>
        <w:contextualSpacing w:val="0"/>
        <w:rPr>
          <w:rFonts w:asciiTheme="majorHAnsi" w:hAnsiTheme="majorHAnsi" w:cs="Times New Roman"/>
          <w:b/>
          <w:bCs/>
          <w:sz w:val="24"/>
          <w:szCs w:val="24"/>
          <w:lang w:val="en-US"/>
        </w:rPr>
      </w:pPr>
    </w:p>
    <w:p w14:paraId="1D6FD650" w14:textId="77777777" w:rsidR="00797527" w:rsidRPr="00324DCD" w:rsidRDefault="00797527" w:rsidP="00797527">
      <w:pPr>
        <w:pStyle w:val="ListParagraph"/>
        <w:ind w:left="0"/>
        <w:contextualSpacing w:val="0"/>
        <w:rPr>
          <w:rFonts w:asciiTheme="majorHAnsi" w:hAnsiTheme="majorHAnsi" w:cs="Times New Roman"/>
          <w:sz w:val="24"/>
          <w:szCs w:val="24"/>
        </w:rPr>
      </w:pPr>
      <w:r w:rsidRPr="00324DCD">
        <w:rPr>
          <w:rFonts w:asciiTheme="majorHAnsi" w:hAnsiTheme="majorHAnsi" w:cs="Times New Roman"/>
          <w:b/>
          <w:bCs/>
          <w:sz w:val="24"/>
          <w:szCs w:val="24"/>
        </w:rPr>
        <w:t>Arnaud de Nanteuil</w:t>
      </w:r>
      <w:r w:rsidRPr="00324DCD">
        <w:rPr>
          <w:rFonts w:asciiTheme="majorHAnsi" w:hAnsiTheme="majorHAnsi" w:cs="Times New Roman"/>
          <w:sz w:val="24"/>
          <w:szCs w:val="24"/>
        </w:rPr>
        <w:t xml:space="preserve">, Professeur de droit public à l’Université Paris-Est Créteil Val de Marne, </w:t>
      </w:r>
      <w:r w:rsidR="00324DCD" w:rsidRPr="00324DCD">
        <w:rPr>
          <w:rFonts w:asciiTheme="majorHAnsi" w:hAnsiTheme="majorHAnsi" w:cs="Times New Roman"/>
          <w:sz w:val="24"/>
          <w:szCs w:val="24"/>
        </w:rPr>
        <w:t>Expert auprès de l'Organisation internationale de la Francophonie. </w:t>
      </w:r>
    </w:p>
    <w:p w14:paraId="667D6EFC" w14:textId="77777777" w:rsidR="00797527" w:rsidRPr="00324DCD" w:rsidRDefault="00797527" w:rsidP="00797527">
      <w:pPr>
        <w:pStyle w:val="ListParagraph"/>
        <w:ind w:left="0"/>
        <w:contextualSpacing w:val="0"/>
        <w:rPr>
          <w:rFonts w:asciiTheme="majorHAnsi" w:hAnsiTheme="majorHAnsi" w:cs="Times New Roman"/>
          <w:sz w:val="24"/>
          <w:szCs w:val="24"/>
        </w:rPr>
      </w:pPr>
    </w:p>
    <w:p w14:paraId="7517B507" w14:textId="77777777" w:rsidR="00797527" w:rsidRPr="00324DCD" w:rsidRDefault="00797527" w:rsidP="00B80A75">
      <w:pPr>
        <w:pStyle w:val="ListParagraph"/>
        <w:spacing w:before="100" w:beforeAutospacing="1"/>
        <w:ind w:left="0"/>
        <w:rPr>
          <w:rFonts w:asciiTheme="majorHAnsi" w:hAnsiTheme="majorHAnsi" w:cs="Times New Roman"/>
          <w:sz w:val="24"/>
          <w:szCs w:val="24"/>
        </w:rPr>
      </w:pPr>
      <w:r w:rsidRPr="00324DCD">
        <w:rPr>
          <w:rFonts w:asciiTheme="majorHAnsi" w:hAnsiTheme="majorHAnsi" w:cs="Times New Roman"/>
          <w:b/>
          <w:bCs/>
          <w:sz w:val="24"/>
          <w:szCs w:val="24"/>
        </w:rPr>
        <w:t>Olivier de Schutter</w:t>
      </w:r>
      <w:r w:rsidRPr="00324DCD">
        <w:rPr>
          <w:rFonts w:asciiTheme="majorHAnsi" w:hAnsiTheme="majorHAnsi" w:cs="Times New Roman"/>
          <w:sz w:val="24"/>
          <w:szCs w:val="24"/>
        </w:rPr>
        <w:t xml:space="preserve">, </w:t>
      </w:r>
      <w:r w:rsidR="00B80A75" w:rsidRPr="00B80A75">
        <w:rPr>
          <w:rFonts w:asciiTheme="majorHAnsi" w:hAnsiTheme="majorHAnsi" w:cs="Times New Roman"/>
          <w:sz w:val="24"/>
          <w:szCs w:val="24"/>
        </w:rPr>
        <w:t xml:space="preserve">Professeur à l’UCLouvain et membre du Comité des droits économiques, sociaux et culturels </w:t>
      </w:r>
      <w:r w:rsidR="00B80A75" w:rsidRPr="00324DCD">
        <w:rPr>
          <w:rFonts w:asciiTheme="majorHAnsi" w:hAnsiTheme="majorHAnsi" w:cs="Times New Roman"/>
          <w:sz w:val="24"/>
          <w:szCs w:val="24"/>
        </w:rPr>
        <w:t>(CoDESC)</w:t>
      </w:r>
      <w:r w:rsidR="00B80A75">
        <w:rPr>
          <w:rFonts w:asciiTheme="majorHAnsi" w:hAnsiTheme="majorHAnsi" w:cs="Times New Roman"/>
          <w:sz w:val="24"/>
          <w:szCs w:val="24"/>
        </w:rPr>
        <w:t xml:space="preserve"> </w:t>
      </w:r>
      <w:r w:rsidR="00B80A75" w:rsidRPr="00B80A75">
        <w:rPr>
          <w:rFonts w:asciiTheme="majorHAnsi" w:hAnsiTheme="majorHAnsi" w:cs="Times New Roman"/>
          <w:sz w:val="24"/>
          <w:szCs w:val="24"/>
        </w:rPr>
        <w:t>de l’ONU</w:t>
      </w:r>
      <w:r w:rsidR="00B80A75">
        <w:rPr>
          <w:rFonts w:asciiTheme="majorHAnsi" w:hAnsiTheme="majorHAnsi" w:cs="Times New Roman"/>
          <w:sz w:val="24"/>
          <w:szCs w:val="24"/>
        </w:rPr>
        <w:t>.</w:t>
      </w:r>
      <w:r w:rsidR="00B80A75" w:rsidRPr="00B80A75">
        <w:rPr>
          <w:rFonts w:asciiTheme="majorHAnsi" w:hAnsiTheme="majorHAnsi" w:cs="Times New Roman"/>
          <w:sz w:val="24"/>
          <w:szCs w:val="24"/>
        </w:rPr>
        <w:t> </w:t>
      </w:r>
      <w:r w:rsidRPr="00324DCD">
        <w:rPr>
          <w:rFonts w:asciiTheme="majorHAnsi" w:hAnsiTheme="majorHAnsi" w:cs="Times New Roman"/>
          <w:sz w:val="24"/>
          <w:szCs w:val="24"/>
        </w:rPr>
        <w:t xml:space="preserve"> </w:t>
      </w:r>
    </w:p>
    <w:p w14:paraId="2988B492" w14:textId="77777777" w:rsidR="00797527" w:rsidRPr="00324DCD" w:rsidRDefault="00797527" w:rsidP="00797527">
      <w:pPr>
        <w:pStyle w:val="ListParagraph"/>
        <w:spacing w:before="100" w:beforeAutospacing="1"/>
        <w:ind w:left="0"/>
        <w:rPr>
          <w:rFonts w:asciiTheme="majorHAnsi" w:hAnsiTheme="majorHAnsi" w:cs="Times New Roman"/>
          <w:sz w:val="24"/>
          <w:szCs w:val="24"/>
        </w:rPr>
      </w:pPr>
    </w:p>
    <w:p w14:paraId="7C841595" w14:textId="77777777" w:rsidR="00332E5E" w:rsidRPr="00324DCD" w:rsidRDefault="00332E5E" w:rsidP="00797527">
      <w:pPr>
        <w:pStyle w:val="ListParagraph"/>
        <w:ind w:left="0"/>
        <w:contextualSpacing w:val="0"/>
        <w:rPr>
          <w:rFonts w:asciiTheme="majorHAnsi" w:hAnsiTheme="majorHAnsi" w:cs="Times New Roman"/>
          <w:sz w:val="24"/>
          <w:szCs w:val="24"/>
        </w:rPr>
      </w:pPr>
      <w:r w:rsidRPr="00324DCD">
        <w:rPr>
          <w:rFonts w:asciiTheme="majorHAnsi" w:hAnsiTheme="majorHAnsi" w:cs="Times New Roman"/>
          <w:b/>
          <w:sz w:val="24"/>
          <w:szCs w:val="24"/>
        </w:rPr>
        <w:t>Mathilde Dupré</w:t>
      </w:r>
      <w:r w:rsidRPr="00324DCD">
        <w:rPr>
          <w:rFonts w:asciiTheme="majorHAnsi" w:hAnsiTheme="majorHAnsi" w:cs="Times New Roman"/>
          <w:sz w:val="24"/>
          <w:szCs w:val="24"/>
        </w:rPr>
        <w:t xml:space="preserve">, </w:t>
      </w:r>
      <w:r w:rsidRPr="00324DCD">
        <w:rPr>
          <w:rFonts w:asciiTheme="majorHAnsi" w:hAnsiTheme="majorHAnsi" w:cs="Times New Roman"/>
          <w:iCs/>
          <w:sz w:val="24"/>
          <w:szCs w:val="24"/>
        </w:rPr>
        <w:t>C</w:t>
      </w:r>
      <w:r w:rsidRPr="00324DCD">
        <w:rPr>
          <w:rStyle w:val="st"/>
          <w:rFonts w:asciiTheme="majorHAnsi" w:hAnsiTheme="majorHAnsi" w:cs="Times New Roman"/>
          <w:iCs/>
          <w:sz w:val="24"/>
          <w:szCs w:val="24"/>
        </w:rPr>
        <w:t>hargée de campagne pour la responsabilité dans les accords commerciaux</w:t>
      </w:r>
      <w:r w:rsidRPr="00324DCD">
        <w:rPr>
          <w:rStyle w:val="st"/>
          <w:rFonts w:asciiTheme="majorHAnsi" w:hAnsiTheme="majorHAnsi" w:cs="Times New Roman"/>
          <w:i/>
          <w:iCs/>
          <w:sz w:val="24"/>
          <w:szCs w:val="24"/>
        </w:rPr>
        <w:t xml:space="preserve"> </w:t>
      </w:r>
      <w:r w:rsidRPr="00324DCD">
        <w:rPr>
          <w:rStyle w:val="st"/>
          <w:rFonts w:asciiTheme="majorHAnsi" w:hAnsiTheme="majorHAnsi" w:cs="Times New Roman"/>
          <w:sz w:val="24"/>
          <w:szCs w:val="24"/>
        </w:rPr>
        <w:t xml:space="preserve">à l’Institut Veblen. </w:t>
      </w:r>
      <w:r w:rsidRPr="00324DCD">
        <w:rPr>
          <w:rFonts w:asciiTheme="majorHAnsi" w:hAnsiTheme="majorHAnsi" w:cs="Times New Roman"/>
          <w:sz w:val="24"/>
          <w:szCs w:val="24"/>
        </w:rPr>
        <w:t xml:space="preserve"> </w:t>
      </w:r>
    </w:p>
    <w:p w14:paraId="723CFF72" w14:textId="77777777" w:rsidR="00332E5E" w:rsidRPr="00324DCD" w:rsidRDefault="00332E5E" w:rsidP="00797527">
      <w:pPr>
        <w:pStyle w:val="ListParagraph"/>
        <w:spacing w:before="100" w:beforeAutospacing="1"/>
        <w:ind w:left="0"/>
        <w:rPr>
          <w:rFonts w:asciiTheme="majorHAnsi" w:hAnsiTheme="majorHAnsi" w:cs="Times New Roman"/>
          <w:sz w:val="24"/>
          <w:szCs w:val="24"/>
        </w:rPr>
      </w:pPr>
    </w:p>
    <w:p w14:paraId="29209E3E" w14:textId="77777777" w:rsidR="00332E5E" w:rsidRPr="00324DCD" w:rsidRDefault="00332E5E" w:rsidP="00797527">
      <w:pPr>
        <w:pStyle w:val="ListParagraph"/>
        <w:spacing w:before="100"/>
        <w:ind w:left="0"/>
        <w:rPr>
          <w:rFonts w:asciiTheme="majorHAnsi" w:hAnsiTheme="majorHAnsi" w:cs="Times New Roman"/>
          <w:sz w:val="24"/>
          <w:szCs w:val="24"/>
        </w:rPr>
      </w:pPr>
      <w:r w:rsidRPr="00324DCD">
        <w:rPr>
          <w:rFonts w:asciiTheme="majorHAnsi" w:hAnsiTheme="majorHAnsi" w:cs="Times New Roman"/>
          <w:b/>
          <w:bCs/>
          <w:sz w:val="24"/>
          <w:szCs w:val="24"/>
        </w:rPr>
        <w:t xml:space="preserve">Catherine Kessedjian, </w:t>
      </w:r>
      <w:r w:rsidR="00B80A75" w:rsidRPr="00B80A75">
        <w:rPr>
          <w:rFonts w:asciiTheme="majorHAnsi" w:hAnsiTheme="majorHAnsi" w:cs="Times New Roman"/>
          <w:sz w:val="24"/>
          <w:szCs w:val="24"/>
        </w:rPr>
        <w:t>Professeur émérite de l'Université Panthéon-Assas, Présidente branche française et Vice-Chair de l'ILA, Membre associé de l'Institut de Droit international.</w:t>
      </w:r>
    </w:p>
    <w:p w14:paraId="636384AB" w14:textId="77777777" w:rsidR="00332E5E" w:rsidRPr="007E5FC4" w:rsidRDefault="00332E5E" w:rsidP="00797527">
      <w:pPr>
        <w:ind w:left="0" w:firstLine="0"/>
        <w:rPr>
          <w:rFonts w:asciiTheme="majorHAnsi" w:hAnsiTheme="majorHAnsi" w:cs="Times New Roman"/>
          <w:b/>
          <w:sz w:val="24"/>
          <w:szCs w:val="24"/>
          <w:u w:val="single"/>
        </w:rPr>
      </w:pPr>
      <w:r w:rsidRPr="007E5FC4">
        <w:rPr>
          <w:rFonts w:asciiTheme="majorHAnsi" w:hAnsiTheme="majorHAnsi" w:cs="Times New Roman"/>
          <w:b/>
          <w:bCs/>
          <w:sz w:val="24"/>
          <w:szCs w:val="24"/>
        </w:rPr>
        <w:t>Robert Roth</w:t>
      </w:r>
      <w:r w:rsidRPr="007E5FC4">
        <w:rPr>
          <w:rFonts w:asciiTheme="majorHAnsi" w:hAnsiTheme="majorHAnsi" w:cs="Times New Roman"/>
          <w:sz w:val="24"/>
          <w:szCs w:val="24"/>
        </w:rPr>
        <w:t xml:space="preserve">, </w:t>
      </w:r>
      <w:r w:rsidR="007E5FC4" w:rsidRPr="007E5FC4">
        <w:rPr>
          <w:rFonts w:asciiTheme="majorHAnsi" w:hAnsiTheme="majorHAnsi" w:cs="Times New Roman"/>
          <w:sz w:val="24"/>
          <w:szCs w:val="24"/>
        </w:rPr>
        <w:t>P</w:t>
      </w:r>
      <w:r w:rsidR="007E5FC4" w:rsidRPr="007E5FC4">
        <w:rPr>
          <w:rFonts w:asciiTheme="majorHAnsi" w:hAnsiTheme="majorHAnsi" w:cs="Times New Roman"/>
          <w:sz w:val="24"/>
          <w:szCs w:val="24"/>
          <w:lang w:val="fr-CH"/>
        </w:rPr>
        <w:t xml:space="preserve">rofesseur honoraire de l’Université de Genève, </w:t>
      </w:r>
      <w:r w:rsidR="007E5FC4" w:rsidRPr="007E5FC4">
        <w:rPr>
          <w:rFonts w:asciiTheme="majorHAnsi" w:hAnsiTheme="majorHAnsi"/>
          <w:sz w:val="24"/>
          <w:szCs w:val="24"/>
          <w:lang w:val="fr-CH"/>
        </w:rPr>
        <w:t>ancien directeur de l’Académie de droit international humanitaire</w:t>
      </w:r>
      <w:r w:rsidR="007E5FC4">
        <w:rPr>
          <w:rFonts w:asciiTheme="majorHAnsi" w:hAnsiTheme="majorHAnsi"/>
          <w:sz w:val="24"/>
          <w:szCs w:val="24"/>
          <w:lang w:val="fr-CH"/>
        </w:rPr>
        <w:t xml:space="preserve"> et des droits humains à Genève.</w:t>
      </w:r>
    </w:p>
    <w:sectPr w:rsidR="00332E5E" w:rsidRPr="007E5F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281D" w14:textId="77777777" w:rsidR="0012338B" w:rsidRDefault="0012338B" w:rsidP="0012338B">
      <w:pPr>
        <w:spacing w:before="0"/>
      </w:pPr>
      <w:r>
        <w:separator/>
      </w:r>
    </w:p>
  </w:endnote>
  <w:endnote w:type="continuationSeparator" w:id="0">
    <w:p w14:paraId="50BCAB7A" w14:textId="77777777" w:rsidR="0012338B" w:rsidRDefault="0012338B" w:rsidP="001233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854650"/>
      <w:docPartObj>
        <w:docPartGallery w:val="Page Numbers (Bottom of Page)"/>
        <w:docPartUnique/>
      </w:docPartObj>
    </w:sdtPr>
    <w:sdtEndPr/>
    <w:sdtContent>
      <w:p w14:paraId="135E929F" w14:textId="6412392F" w:rsidR="00CB6EF4" w:rsidRDefault="00CB6EF4">
        <w:pPr>
          <w:pStyle w:val="Footer"/>
          <w:jc w:val="center"/>
        </w:pPr>
        <w:r>
          <w:fldChar w:fldCharType="begin"/>
        </w:r>
        <w:r>
          <w:instrText>PAGE   \* MERGEFORMAT</w:instrText>
        </w:r>
        <w:r>
          <w:fldChar w:fldCharType="separate"/>
        </w:r>
        <w:r w:rsidR="0035631D">
          <w:rPr>
            <w:noProof/>
          </w:rPr>
          <w:t>1</w:t>
        </w:r>
        <w:r>
          <w:fldChar w:fldCharType="end"/>
        </w:r>
      </w:p>
    </w:sdtContent>
  </w:sdt>
  <w:p w14:paraId="2E2B9330" w14:textId="77777777" w:rsidR="00CB6EF4" w:rsidRDefault="00CB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E61B" w14:textId="77777777" w:rsidR="0012338B" w:rsidRDefault="0012338B" w:rsidP="0012338B">
      <w:pPr>
        <w:spacing w:before="0"/>
      </w:pPr>
      <w:r>
        <w:separator/>
      </w:r>
    </w:p>
  </w:footnote>
  <w:footnote w:type="continuationSeparator" w:id="0">
    <w:p w14:paraId="0A46BB40" w14:textId="77777777" w:rsidR="0012338B" w:rsidRDefault="0012338B" w:rsidP="0012338B">
      <w:pPr>
        <w:spacing w:before="0"/>
      </w:pPr>
      <w:r>
        <w:continuationSeparator/>
      </w:r>
    </w:p>
  </w:footnote>
  <w:footnote w:id="1">
    <w:p w14:paraId="29330D8C" w14:textId="77777777" w:rsidR="0089431A" w:rsidRPr="00182D63" w:rsidRDefault="0089431A" w:rsidP="0089431A">
      <w:pPr>
        <w:pStyle w:val="FootnoteText"/>
        <w:rPr>
          <w:rFonts w:asciiTheme="majorHAnsi" w:hAnsiTheme="majorHAnsi" w:cs="Arial"/>
          <w:sz w:val="18"/>
          <w:szCs w:val="18"/>
        </w:rPr>
      </w:pPr>
      <w:r w:rsidRPr="00182D63">
        <w:rPr>
          <w:rStyle w:val="FootnoteReference"/>
          <w:rFonts w:asciiTheme="majorHAnsi" w:hAnsiTheme="majorHAnsi" w:cs="Arial"/>
          <w:sz w:val="18"/>
          <w:szCs w:val="18"/>
        </w:rPr>
        <w:footnoteRef/>
      </w:r>
      <w:r w:rsidRPr="00182D63">
        <w:rPr>
          <w:rFonts w:asciiTheme="majorHAnsi" w:hAnsiTheme="majorHAnsi" w:cs="Arial"/>
          <w:sz w:val="18"/>
          <w:szCs w:val="18"/>
        </w:rPr>
        <w:t xml:space="preserve"> Etude de la CNCDH</w:t>
      </w:r>
      <w:r w:rsidRPr="00182D63">
        <w:rPr>
          <w:rFonts w:asciiTheme="majorHAnsi" w:hAnsiTheme="majorHAnsi" w:cs="Arial"/>
          <w:i/>
          <w:sz w:val="18"/>
          <w:szCs w:val="18"/>
        </w:rPr>
        <w:t>, La responsabilité des entreprises en matière de droits de l’homme</w:t>
      </w:r>
      <w:r w:rsidRPr="00182D63">
        <w:rPr>
          <w:rFonts w:asciiTheme="majorHAnsi" w:hAnsiTheme="majorHAnsi" w:cs="Arial"/>
          <w:sz w:val="18"/>
          <w:szCs w:val="18"/>
        </w:rPr>
        <w:t xml:space="preserve">, Volume I – Nouveaux enjeux, nouveaux rôles ; Volume II – Etat des lieux et perspectives d’action publique, La Documentation française, 2008 et 2009. Disponible sur </w:t>
      </w:r>
      <w:hyperlink r:id="rId1" w:history="1">
        <w:r w:rsidRPr="00182D63">
          <w:rPr>
            <w:rStyle w:val="Hyperlink"/>
            <w:rFonts w:asciiTheme="majorHAnsi" w:hAnsiTheme="majorHAnsi" w:cs="Arial"/>
            <w:sz w:val="18"/>
            <w:szCs w:val="18"/>
          </w:rPr>
          <w:t>http://www.cncdh.fr/fr/publications/la-responsabilite-des-entreprises-en-matiere-de-droits-de-lhomme-0</w:t>
        </w:r>
      </w:hyperlink>
    </w:p>
  </w:footnote>
  <w:footnote w:id="2">
    <w:p w14:paraId="269B875E" w14:textId="77777777" w:rsidR="0089431A" w:rsidRPr="00182D63" w:rsidRDefault="0089431A" w:rsidP="002761F4">
      <w:pPr>
        <w:pStyle w:val="FootnoteText"/>
        <w:rPr>
          <w:rFonts w:asciiTheme="majorHAnsi" w:hAnsiTheme="majorHAnsi" w:cs="Arial"/>
          <w:sz w:val="18"/>
          <w:szCs w:val="18"/>
        </w:rPr>
      </w:pPr>
      <w:r w:rsidRPr="00182D63">
        <w:rPr>
          <w:rStyle w:val="FootnoteReference"/>
          <w:rFonts w:asciiTheme="majorHAnsi" w:hAnsiTheme="majorHAnsi" w:cs="Arial"/>
          <w:sz w:val="18"/>
          <w:szCs w:val="18"/>
        </w:rPr>
        <w:footnoteRef/>
      </w:r>
      <w:r w:rsidRPr="00182D63">
        <w:rPr>
          <w:rFonts w:asciiTheme="majorHAnsi" w:hAnsiTheme="majorHAnsi" w:cs="Arial"/>
          <w:sz w:val="18"/>
          <w:szCs w:val="18"/>
        </w:rPr>
        <w:t xml:space="preserve"> CNCDH, Avis </w:t>
      </w:r>
      <w:r w:rsidRPr="00182D63">
        <w:rPr>
          <w:rFonts w:asciiTheme="majorHAnsi" w:hAnsiTheme="majorHAnsi" w:cs="Arial"/>
          <w:i/>
          <w:sz w:val="18"/>
          <w:szCs w:val="18"/>
        </w:rPr>
        <w:t>sur les enjeux de l’application par la France des Principes directeurs des Nations unies,</w:t>
      </w:r>
      <w:r w:rsidRPr="00182D63">
        <w:rPr>
          <w:rFonts w:asciiTheme="majorHAnsi" w:hAnsiTheme="majorHAnsi" w:cs="Arial"/>
          <w:sz w:val="18"/>
          <w:szCs w:val="18"/>
        </w:rPr>
        <w:t xml:space="preserve"> </w:t>
      </w:r>
      <w:r w:rsidR="002761F4" w:rsidRPr="00182D63">
        <w:rPr>
          <w:rFonts w:asciiTheme="majorHAnsi" w:hAnsiTheme="majorHAnsi" w:cs="Arial"/>
          <w:sz w:val="18"/>
          <w:szCs w:val="18"/>
        </w:rPr>
        <w:t xml:space="preserve">24 octobre </w:t>
      </w:r>
      <w:r w:rsidRPr="00182D63">
        <w:rPr>
          <w:rFonts w:asciiTheme="majorHAnsi" w:hAnsiTheme="majorHAnsi" w:cs="Arial"/>
          <w:sz w:val="18"/>
          <w:szCs w:val="18"/>
        </w:rPr>
        <w:t>2013</w:t>
      </w:r>
      <w:r w:rsidR="002761F4" w:rsidRPr="00182D63">
        <w:rPr>
          <w:rFonts w:asciiTheme="majorHAnsi" w:hAnsiTheme="majorHAnsi" w:cs="Arial"/>
          <w:sz w:val="18"/>
          <w:szCs w:val="18"/>
        </w:rPr>
        <w:t xml:space="preserve">, JORF n°0266 du 16 novembre 2013 texte n° 56. </w:t>
      </w:r>
      <w:r w:rsidRPr="00182D63">
        <w:rPr>
          <w:rFonts w:asciiTheme="majorHAnsi" w:hAnsiTheme="majorHAnsi" w:cs="Arial"/>
          <w:sz w:val="18"/>
          <w:szCs w:val="18"/>
        </w:rPr>
        <w:t xml:space="preserve">Disponible sur </w:t>
      </w:r>
      <w:hyperlink r:id="rId2" w:history="1">
        <w:r w:rsidRPr="00182D63">
          <w:rPr>
            <w:rStyle w:val="Hyperlink"/>
            <w:rFonts w:asciiTheme="majorHAnsi" w:hAnsiTheme="majorHAnsi" w:cs="Arial"/>
            <w:sz w:val="18"/>
            <w:szCs w:val="18"/>
          </w:rPr>
          <w:t>http://www.cncdh.fr/fr/publications/entreprises-et-droits-de-lhomme</w:t>
        </w:r>
      </w:hyperlink>
    </w:p>
  </w:footnote>
  <w:footnote w:id="3">
    <w:p w14:paraId="37A4F8A1" w14:textId="77777777" w:rsidR="0089431A" w:rsidRPr="00182D63" w:rsidRDefault="0089431A" w:rsidP="0089431A">
      <w:pPr>
        <w:pStyle w:val="FootnoteText"/>
        <w:rPr>
          <w:rFonts w:asciiTheme="majorHAnsi" w:hAnsiTheme="majorHAnsi" w:cs="Arial"/>
          <w:sz w:val="18"/>
          <w:szCs w:val="18"/>
        </w:rPr>
      </w:pPr>
      <w:r w:rsidRPr="00182D63">
        <w:rPr>
          <w:rStyle w:val="FootnoteReference"/>
          <w:rFonts w:asciiTheme="majorHAnsi" w:hAnsiTheme="majorHAnsi" w:cs="Arial"/>
          <w:sz w:val="18"/>
          <w:szCs w:val="18"/>
        </w:rPr>
        <w:footnoteRef/>
      </w:r>
      <w:r w:rsidRPr="00182D63">
        <w:rPr>
          <w:rFonts w:asciiTheme="majorHAnsi" w:hAnsiTheme="majorHAnsi" w:cs="Arial"/>
          <w:sz w:val="18"/>
          <w:szCs w:val="18"/>
        </w:rPr>
        <w:t xml:space="preserve"> Plateforme RSE,  </w:t>
      </w:r>
      <w:r w:rsidRPr="00182D63">
        <w:rPr>
          <w:rFonts w:asciiTheme="majorHAnsi" w:hAnsiTheme="majorHAnsi" w:cs="Arial"/>
          <w:i/>
          <w:sz w:val="18"/>
          <w:szCs w:val="18"/>
        </w:rPr>
        <w:t>Avis sur le Plan d’application des Principes directeurs des Nations unies pour les  droits de l’homme et les entreprises</w:t>
      </w:r>
      <w:r w:rsidRPr="00182D63">
        <w:rPr>
          <w:rFonts w:asciiTheme="majorHAnsi" w:hAnsiTheme="majorHAnsi" w:cs="Arial"/>
          <w:sz w:val="18"/>
          <w:szCs w:val="18"/>
        </w:rPr>
        <w:t xml:space="preserve">  (</w:t>
      </w:r>
      <w:hyperlink r:id="rId3" w:history="1">
        <w:r w:rsidRPr="00182D63">
          <w:rPr>
            <w:rStyle w:val="Hyperlink"/>
            <w:rFonts w:asciiTheme="majorHAnsi" w:hAnsiTheme="majorHAnsi" w:cs="Arial"/>
            <w:sz w:val="18"/>
            <w:szCs w:val="18"/>
          </w:rPr>
          <w:t>http://www.ladocumentationfrancaise.fr/var/storage/rapports-publics/174000024.pdf</w:t>
        </w:r>
      </w:hyperlink>
      <w:r w:rsidRPr="00182D63">
        <w:rPr>
          <w:rFonts w:asciiTheme="majorHAnsi" w:hAnsiTheme="majorHAnsi" w:cs="Arial"/>
          <w:sz w:val="18"/>
          <w:szCs w:val="18"/>
        </w:rPr>
        <w:t>)</w:t>
      </w:r>
    </w:p>
  </w:footnote>
  <w:footnote w:id="4">
    <w:p w14:paraId="4EE301A8" w14:textId="77777777" w:rsidR="0089431A" w:rsidRPr="00182D63" w:rsidRDefault="0089431A">
      <w:pPr>
        <w:pStyle w:val="FootnoteText"/>
        <w:rPr>
          <w:rFonts w:asciiTheme="majorHAnsi" w:hAnsiTheme="majorHAnsi"/>
          <w:sz w:val="18"/>
          <w:szCs w:val="18"/>
        </w:rPr>
      </w:pPr>
      <w:r w:rsidRPr="00182D63">
        <w:rPr>
          <w:rStyle w:val="FootnoteReference"/>
          <w:rFonts w:asciiTheme="majorHAnsi" w:hAnsiTheme="majorHAnsi"/>
          <w:sz w:val="18"/>
          <w:szCs w:val="18"/>
        </w:rPr>
        <w:footnoteRef/>
      </w:r>
      <w:r w:rsidRPr="00182D63">
        <w:rPr>
          <w:rFonts w:asciiTheme="majorHAnsi" w:hAnsiTheme="majorHAnsi"/>
          <w:sz w:val="18"/>
          <w:szCs w:val="18"/>
        </w:rPr>
        <w:t xml:space="preserve"> </w:t>
      </w:r>
      <w:r w:rsidRPr="00182D63">
        <w:rPr>
          <w:rFonts w:asciiTheme="majorHAnsi" w:hAnsiTheme="majorHAnsi" w:cs="Times New Roman"/>
          <w:sz w:val="18"/>
          <w:szCs w:val="18"/>
        </w:rPr>
        <w:t>CNCDH,</w:t>
      </w:r>
      <w:r w:rsidRPr="00182D63">
        <w:rPr>
          <w:rFonts w:asciiTheme="majorHAnsi" w:hAnsiTheme="majorHAnsi" w:cs="Times New Roman"/>
          <w:b/>
          <w:sz w:val="18"/>
          <w:szCs w:val="18"/>
        </w:rPr>
        <w:t xml:space="preserve"> </w:t>
      </w:r>
      <w:r w:rsidRPr="00182D63">
        <w:rPr>
          <w:rStyle w:val="Strong"/>
          <w:rFonts w:asciiTheme="majorHAnsi" w:hAnsiTheme="majorHAnsi" w:cs="Times New Roman"/>
          <w:b w:val="0"/>
          <w:i/>
          <w:sz w:val="18"/>
          <w:szCs w:val="18"/>
        </w:rPr>
        <w:t>Déclaration sur l'adoption d'un instrument international contraignant sur les entreprises et les droits de l'homme</w:t>
      </w:r>
      <w:r w:rsidRPr="00182D63">
        <w:rPr>
          <w:rStyle w:val="Strong"/>
          <w:rFonts w:asciiTheme="majorHAnsi" w:hAnsiTheme="majorHAnsi" w:cs="Times New Roman"/>
          <w:b w:val="0"/>
          <w:sz w:val="18"/>
          <w:szCs w:val="18"/>
        </w:rPr>
        <w:t xml:space="preserve">, Assemblée plénière du 5 octobre 2018, </w:t>
      </w:r>
      <w:r w:rsidRPr="00182D63">
        <w:rPr>
          <w:rFonts w:asciiTheme="majorHAnsi" w:hAnsiTheme="majorHAnsi" w:cs="Times New Roman"/>
          <w:sz w:val="18"/>
          <w:szCs w:val="18"/>
        </w:rPr>
        <w:t>JORF n°0238 du 14 octobre 2018, texte n° 100.</w:t>
      </w:r>
      <w:r w:rsidR="00324DCD" w:rsidRPr="00182D63">
        <w:rPr>
          <w:rFonts w:asciiTheme="majorHAnsi" w:hAnsiTheme="majorHAnsi" w:cs="Times New Roman"/>
          <w:sz w:val="18"/>
          <w:szCs w:val="18"/>
        </w:rPr>
        <w:t xml:space="preserve"> </w:t>
      </w:r>
      <w:r w:rsidR="002761F4" w:rsidRPr="00182D63">
        <w:rPr>
          <w:rFonts w:asciiTheme="majorHAnsi" w:hAnsiTheme="majorHAnsi" w:cs="Times New Roman"/>
          <w:sz w:val="18"/>
          <w:szCs w:val="18"/>
        </w:rPr>
        <w:t xml:space="preserve">Disponible sur </w:t>
      </w:r>
      <w:hyperlink r:id="rId4" w:history="1">
        <w:r w:rsidR="002761F4" w:rsidRPr="00182D63">
          <w:rPr>
            <w:rStyle w:val="Hyperlink"/>
            <w:rFonts w:asciiTheme="majorHAnsi" w:hAnsiTheme="majorHAnsi" w:cs="Times New Roman"/>
            <w:sz w:val="18"/>
            <w:szCs w:val="18"/>
          </w:rPr>
          <w:t>https://www.cncdh.fr/fr/publications/declaration-sur-ladoption-dun-instrument-international-contraignant-sur-les-entreprises</w:t>
        </w:r>
      </w:hyperlink>
      <w:r w:rsidR="002761F4" w:rsidRPr="00182D63">
        <w:rPr>
          <w:rFonts w:asciiTheme="majorHAnsi" w:hAnsiTheme="majorHAnsi" w:cs="Times New Roman"/>
          <w:sz w:val="18"/>
          <w:szCs w:val="18"/>
        </w:rPr>
        <w:t>.</w:t>
      </w:r>
    </w:p>
  </w:footnote>
  <w:footnote w:id="5">
    <w:p w14:paraId="75C35EFF" w14:textId="77777777" w:rsidR="00412C85" w:rsidRDefault="00412C85">
      <w:pPr>
        <w:pStyle w:val="FootnoteText"/>
      </w:pPr>
      <w:r w:rsidRPr="00182D63">
        <w:rPr>
          <w:rStyle w:val="FootnoteReference"/>
          <w:rFonts w:asciiTheme="majorHAnsi" w:hAnsiTheme="majorHAnsi"/>
          <w:sz w:val="18"/>
          <w:szCs w:val="18"/>
        </w:rPr>
        <w:footnoteRef/>
      </w:r>
      <w:r w:rsidRPr="00182D63">
        <w:rPr>
          <w:rFonts w:asciiTheme="majorHAnsi" w:hAnsiTheme="majorHAnsi"/>
          <w:sz w:val="18"/>
          <w:szCs w:val="18"/>
        </w:rPr>
        <w:t xml:space="preserve"> </w:t>
      </w:r>
      <w:r w:rsidR="00324DCD" w:rsidRPr="00182D63">
        <w:rPr>
          <w:rFonts w:asciiTheme="majorHAnsi" w:hAnsiTheme="majorHAnsi" w:cs="Times New Roman"/>
          <w:i/>
          <w:sz w:val="18"/>
          <w:szCs w:val="18"/>
        </w:rPr>
        <w:t>Ibidem.</w:t>
      </w:r>
    </w:p>
  </w:footnote>
  <w:footnote w:id="6">
    <w:p w14:paraId="63205C17" w14:textId="77777777" w:rsidR="00560AD8" w:rsidRPr="00403CDB" w:rsidRDefault="00560AD8" w:rsidP="00D65BA2">
      <w:pPr>
        <w:pStyle w:val="FootnoteText"/>
        <w:rPr>
          <w:rFonts w:asciiTheme="majorHAnsi" w:hAnsiTheme="majorHAnsi"/>
        </w:rPr>
      </w:pPr>
      <w:r w:rsidRPr="00403CDB">
        <w:rPr>
          <w:rStyle w:val="FootnoteReference"/>
          <w:rFonts w:asciiTheme="majorHAnsi" w:hAnsiTheme="majorHAnsi"/>
          <w:sz w:val="18"/>
        </w:rPr>
        <w:footnoteRef/>
      </w:r>
      <w:r w:rsidRPr="00403CDB">
        <w:rPr>
          <w:rFonts w:asciiTheme="majorHAnsi" w:hAnsiTheme="majorHAnsi"/>
          <w:sz w:val="18"/>
        </w:rPr>
        <w:t xml:space="preserve"> </w:t>
      </w:r>
      <w:r w:rsidR="00403CDB">
        <w:rPr>
          <w:rFonts w:asciiTheme="majorHAnsi" w:hAnsiTheme="majorHAnsi"/>
          <w:sz w:val="18"/>
        </w:rPr>
        <w:t>Observation générale N°</w:t>
      </w:r>
      <w:r w:rsidR="00A92BBE" w:rsidRPr="00403CDB">
        <w:rPr>
          <w:rFonts w:asciiTheme="majorHAnsi" w:hAnsiTheme="majorHAnsi"/>
          <w:sz w:val="18"/>
        </w:rPr>
        <w:t xml:space="preserve">26, </w:t>
      </w:r>
      <w:r w:rsidR="00D65BA2" w:rsidRPr="00D65BA2">
        <w:rPr>
          <w:rFonts w:asciiTheme="majorHAnsi" w:hAnsiTheme="majorHAnsi"/>
          <w:i/>
          <w:sz w:val="18"/>
        </w:rPr>
        <w:t>Observation générale sur les questions touchant la continuité des obligations souscrites en vertu du Pacte international relatif aux droits civils et politiques</w:t>
      </w:r>
      <w:r w:rsidR="00A92BBE" w:rsidRPr="00403CDB">
        <w:rPr>
          <w:rFonts w:asciiTheme="majorHAnsi" w:hAnsiTheme="majorHAnsi"/>
          <w:sz w:val="18"/>
        </w:rPr>
        <w:t>,</w:t>
      </w:r>
      <w:r w:rsidR="00D65BA2">
        <w:rPr>
          <w:rFonts w:asciiTheme="majorHAnsi" w:hAnsiTheme="majorHAnsi"/>
          <w:sz w:val="18"/>
        </w:rPr>
        <w:t xml:space="preserve"> par.3,</w:t>
      </w:r>
      <w:r w:rsidR="00A92BBE" w:rsidRPr="00403CDB">
        <w:rPr>
          <w:rFonts w:asciiTheme="majorHAnsi" w:hAnsiTheme="majorHAnsi"/>
          <w:sz w:val="18"/>
        </w:rPr>
        <w:t xml:space="preserve"> U.N. Doc. CCPR/C/21/Rev.1/Add.8/Rev.1 (1997).</w:t>
      </w:r>
    </w:p>
  </w:footnote>
  <w:footnote w:id="7">
    <w:p w14:paraId="6B79B725" w14:textId="05E50FAF" w:rsidR="00B74032" w:rsidRPr="00B74032" w:rsidRDefault="00B74032">
      <w:pPr>
        <w:pStyle w:val="FootnoteText"/>
        <w:rPr>
          <w:rFonts w:asciiTheme="majorHAnsi" w:hAnsiTheme="majorHAnsi"/>
        </w:rPr>
      </w:pPr>
      <w:r w:rsidRPr="00B74032">
        <w:rPr>
          <w:rStyle w:val="FootnoteReference"/>
          <w:rFonts w:asciiTheme="majorHAnsi" w:hAnsiTheme="majorHAnsi"/>
          <w:b/>
          <w:sz w:val="18"/>
        </w:rPr>
        <w:footnoteRef/>
      </w:r>
      <w:r w:rsidRPr="00B74032">
        <w:rPr>
          <w:rFonts w:asciiTheme="majorHAnsi" w:hAnsiTheme="majorHAnsi"/>
          <w:b/>
          <w:sz w:val="18"/>
        </w:rPr>
        <w:t xml:space="preserve"> </w:t>
      </w:r>
      <w:r w:rsidR="002761F4">
        <w:rPr>
          <w:rStyle w:val="Strong"/>
          <w:rFonts w:asciiTheme="majorHAnsi" w:hAnsiTheme="majorHAnsi"/>
          <w:b w:val="0"/>
          <w:i/>
          <w:sz w:val="18"/>
        </w:rPr>
        <w:t>Op.cit.</w:t>
      </w:r>
      <w:r w:rsidR="00281A68">
        <w:rPr>
          <w:rStyle w:val="Strong"/>
          <w:rFonts w:asciiTheme="majorHAnsi" w:hAnsiTheme="majorHAnsi"/>
          <w:b w:val="0"/>
          <w:i/>
          <w:sz w:val="18"/>
        </w:rPr>
        <w:t xml:space="preserve"> </w:t>
      </w:r>
      <w:r w:rsidR="00281A68" w:rsidRPr="00281A68">
        <w:rPr>
          <w:rStyle w:val="Strong"/>
          <w:rFonts w:asciiTheme="majorHAnsi" w:hAnsiTheme="majorHAnsi"/>
          <w:b w:val="0"/>
          <w:sz w:val="18"/>
        </w:rPr>
        <w:t>note 2</w:t>
      </w:r>
    </w:p>
  </w:footnote>
  <w:footnote w:id="8">
    <w:p w14:paraId="3773E9A6" w14:textId="77777777" w:rsidR="005578B7" w:rsidRPr="00E0711F" w:rsidRDefault="005578B7" w:rsidP="005578B7">
      <w:pPr>
        <w:pStyle w:val="FootnoteText"/>
        <w:rPr>
          <w:rFonts w:asciiTheme="majorHAnsi" w:hAnsiTheme="majorHAnsi"/>
          <w:sz w:val="18"/>
          <w:szCs w:val="18"/>
        </w:rPr>
      </w:pPr>
      <w:r w:rsidRPr="00E0711F">
        <w:rPr>
          <w:rStyle w:val="FootnoteReference"/>
          <w:rFonts w:asciiTheme="majorHAnsi" w:hAnsiTheme="majorHAnsi" w:cs="Times New Roman"/>
          <w:b/>
          <w:sz w:val="18"/>
          <w:szCs w:val="18"/>
        </w:rPr>
        <w:footnoteRef/>
      </w:r>
      <w:r w:rsidRPr="00E0711F">
        <w:rPr>
          <w:rFonts w:asciiTheme="majorHAnsi" w:hAnsiTheme="majorHAnsi" w:cs="Times New Roman"/>
          <w:b/>
          <w:sz w:val="18"/>
          <w:szCs w:val="18"/>
        </w:rPr>
        <w:t xml:space="preserve"> </w:t>
      </w:r>
      <w:r w:rsidRPr="00E0711F">
        <w:rPr>
          <w:rStyle w:val="Strong"/>
          <w:rFonts w:asciiTheme="majorHAnsi" w:hAnsiTheme="majorHAnsi" w:cs="Times New Roman"/>
          <w:b w:val="0"/>
          <w:i/>
          <w:sz w:val="18"/>
          <w:szCs w:val="18"/>
        </w:rPr>
        <w:t xml:space="preserve">Avis sur les accords internationaux de commerce et d'investissement : Ne sacrifions pas les droits de l'homme aux intérêts commerciaux - L'exemple de l'accord économique et commercial global entre l'Union européenne et le Canada (CETA), </w:t>
      </w:r>
      <w:r w:rsidRPr="00E0711F">
        <w:rPr>
          <w:rStyle w:val="Strong"/>
          <w:rFonts w:asciiTheme="majorHAnsi" w:hAnsiTheme="majorHAnsi" w:cs="Times New Roman"/>
          <w:b w:val="0"/>
          <w:sz w:val="18"/>
          <w:szCs w:val="18"/>
        </w:rPr>
        <w:t xml:space="preserve">adopté par l’Assemblée plénière de la CNCDH le 15 décembre 2016, </w:t>
      </w:r>
      <w:r w:rsidRPr="00E0711F">
        <w:rPr>
          <w:rFonts w:asciiTheme="majorHAnsi" w:hAnsiTheme="majorHAnsi" w:cs="Times New Roman"/>
          <w:bCs/>
          <w:sz w:val="18"/>
          <w:szCs w:val="18"/>
        </w:rPr>
        <w:t xml:space="preserve">JORF n°0056 du 7 mars 2017 </w:t>
      </w:r>
      <w:r w:rsidRPr="00E0711F">
        <w:rPr>
          <w:rFonts w:asciiTheme="majorHAnsi" w:hAnsiTheme="majorHAnsi" w:cs="Times New Roman"/>
          <w:bCs/>
          <w:sz w:val="18"/>
          <w:szCs w:val="18"/>
        </w:rPr>
        <w:br/>
        <w:t>texte n° 65</w:t>
      </w:r>
      <w:r w:rsidRPr="00E0711F">
        <w:rPr>
          <w:rFonts w:asciiTheme="majorHAnsi" w:hAnsiTheme="majorHAnsi"/>
          <w:bCs/>
          <w:sz w:val="18"/>
          <w:szCs w:val="18"/>
        </w:rPr>
        <w:t>.</w:t>
      </w:r>
      <w:r w:rsidRPr="00E0711F">
        <w:rPr>
          <w:rFonts w:asciiTheme="majorHAnsi" w:hAnsiTheme="majorHAnsi"/>
          <w:b/>
          <w:bCs/>
          <w:sz w:val="18"/>
          <w:szCs w:val="18"/>
        </w:rPr>
        <w:t xml:space="preserve"> </w:t>
      </w:r>
    </w:p>
  </w:footnote>
  <w:footnote w:id="9">
    <w:p w14:paraId="74D74BA9" w14:textId="77777777" w:rsidR="005578B7" w:rsidRPr="00E0711F" w:rsidRDefault="005578B7">
      <w:pPr>
        <w:pStyle w:val="FootnoteText"/>
        <w:rPr>
          <w:rFonts w:asciiTheme="majorHAnsi" w:hAnsiTheme="majorHAnsi"/>
          <w:sz w:val="18"/>
          <w:szCs w:val="18"/>
        </w:rPr>
      </w:pPr>
      <w:r w:rsidRPr="00E0711F">
        <w:rPr>
          <w:rStyle w:val="FootnoteReference"/>
          <w:rFonts w:asciiTheme="majorHAnsi" w:hAnsiTheme="majorHAnsi"/>
          <w:sz w:val="18"/>
          <w:szCs w:val="18"/>
        </w:rPr>
        <w:footnoteRef/>
      </w:r>
      <w:r w:rsidRPr="00E0711F">
        <w:rPr>
          <w:rFonts w:asciiTheme="majorHAnsi" w:hAnsiTheme="majorHAnsi"/>
          <w:sz w:val="18"/>
          <w:szCs w:val="18"/>
        </w:rPr>
        <w:t xml:space="preserve"> Recommandation </w:t>
      </w:r>
      <w:r w:rsidR="00E0711F" w:rsidRPr="00E0711F">
        <w:rPr>
          <w:rFonts w:asciiTheme="majorHAnsi" w:hAnsiTheme="majorHAnsi"/>
          <w:sz w:val="18"/>
          <w:szCs w:val="18"/>
        </w:rPr>
        <w:t>n°</w:t>
      </w:r>
      <w:r w:rsidRPr="00E0711F">
        <w:rPr>
          <w:rFonts w:asciiTheme="majorHAnsi" w:hAnsiTheme="majorHAnsi"/>
          <w:sz w:val="18"/>
          <w:szCs w:val="18"/>
        </w:rPr>
        <w:t xml:space="preserve">13 de l’avis </w:t>
      </w:r>
      <w:r w:rsidR="00E0711F" w:rsidRPr="00E0711F">
        <w:rPr>
          <w:rFonts w:asciiTheme="majorHAnsi" w:hAnsiTheme="majorHAnsi"/>
          <w:sz w:val="18"/>
          <w:szCs w:val="18"/>
        </w:rPr>
        <w:t>précité</w:t>
      </w:r>
      <w:r w:rsidR="00E0711F">
        <w:rPr>
          <w:rFonts w:asciiTheme="majorHAnsi" w:hAnsiTheme="majorHAnsi"/>
          <w:sz w:val="18"/>
          <w:szCs w:val="18"/>
        </w:rPr>
        <w:t>.</w:t>
      </w:r>
    </w:p>
  </w:footnote>
  <w:footnote w:id="10">
    <w:p w14:paraId="027E81BE" w14:textId="77777777" w:rsidR="00E0711F" w:rsidRDefault="00E0711F">
      <w:pPr>
        <w:pStyle w:val="FootnoteText"/>
      </w:pPr>
      <w:r w:rsidRPr="00E0711F">
        <w:rPr>
          <w:rStyle w:val="FootnoteReference"/>
          <w:rFonts w:asciiTheme="majorHAnsi" w:hAnsiTheme="majorHAnsi"/>
          <w:sz w:val="18"/>
          <w:szCs w:val="18"/>
        </w:rPr>
        <w:footnoteRef/>
      </w:r>
      <w:r w:rsidRPr="00E0711F">
        <w:rPr>
          <w:rFonts w:asciiTheme="majorHAnsi" w:hAnsiTheme="majorHAnsi"/>
          <w:sz w:val="18"/>
          <w:szCs w:val="18"/>
        </w:rPr>
        <w:t xml:space="preserve"> Recommandation n°14 de l’avis précité</w:t>
      </w:r>
      <w:r>
        <w:rPr>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E366" w14:textId="77777777" w:rsidR="00A62C9B" w:rsidRDefault="00A62C9B">
    <w:pPr>
      <w:pStyle w:val="Header"/>
    </w:pPr>
    <w:r w:rsidRPr="008F5271">
      <w:rPr>
        <w:rFonts w:ascii="Trebuchet MS" w:hAnsi="Trebuchet MS" w:cs="Times New Roman"/>
        <w:noProof/>
        <w:sz w:val="24"/>
        <w:lang w:val="en-GB" w:eastAsia="en-GB"/>
      </w:rPr>
      <w:drawing>
        <wp:anchor distT="0" distB="0" distL="114300" distR="114300" simplePos="0" relativeHeight="251659264" behindDoc="1" locked="0" layoutInCell="1" allowOverlap="1" wp14:anchorId="2D85DF11" wp14:editId="03CB4C19">
          <wp:simplePos x="0" y="0"/>
          <wp:positionH relativeFrom="margin">
            <wp:posOffset>1760855</wp:posOffset>
          </wp:positionH>
          <wp:positionV relativeFrom="margin">
            <wp:posOffset>-638175</wp:posOffset>
          </wp:positionV>
          <wp:extent cx="2219325" cy="1261110"/>
          <wp:effectExtent l="0" t="0" r="9525" b="0"/>
          <wp:wrapSquare wrapText="bothSides"/>
          <wp:docPr id="2" name="Image 2" descr="\\compte.cncdh.pm.gouv.fr\criou\.profil\.desktop\Utilities\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te.cncdh.pm.gouv.fr\criou\.profil\.desktop\Utilities\LogoDef_CNCDH-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1261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3E2A"/>
    <w:multiLevelType w:val="hybridMultilevel"/>
    <w:tmpl w:val="4B682570"/>
    <w:lvl w:ilvl="0" w:tplc="B218F2A6">
      <w:numFmt w:val="bullet"/>
      <w:lvlText w:val="-"/>
      <w:lvlJc w:val="left"/>
      <w:pPr>
        <w:ind w:left="1080" w:hanging="360"/>
      </w:pPr>
      <w:rPr>
        <w:rFonts w:ascii="Trebuchet MS" w:eastAsia="Calibri" w:hAnsi="Trebuchet MS" w:cs="Calibr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9C31428"/>
    <w:multiLevelType w:val="hybridMultilevel"/>
    <w:tmpl w:val="2B9C84E0"/>
    <w:lvl w:ilvl="0" w:tplc="25F48628">
      <w:numFmt w:val="bullet"/>
      <w:lvlText w:val="-"/>
      <w:lvlJc w:val="left"/>
      <w:pPr>
        <w:ind w:left="360" w:hanging="360"/>
      </w:pPr>
      <w:rPr>
        <w:rFonts w:ascii="Cambria" w:eastAsia="Calibri" w:hAnsi="Cambria" w:cs="Calibri"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6234FAD"/>
    <w:multiLevelType w:val="hybridMultilevel"/>
    <w:tmpl w:val="93B64FF4"/>
    <w:lvl w:ilvl="0" w:tplc="3E629A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E44BED"/>
    <w:multiLevelType w:val="hybridMultilevel"/>
    <w:tmpl w:val="43FEE392"/>
    <w:lvl w:ilvl="0" w:tplc="B03EF06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4522C"/>
    <w:multiLevelType w:val="hybridMultilevel"/>
    <w:tmpl w:val="F94A4E8C"/>
    <w:lvl w:ilvl="0" w:tplc="C4F46B3A">
      <w:numFmt w:val="bullet"/>
      <w:lvlText w:val=""/>
      <w:lvlJc w:val="left"/>
      <w:pPr>
        <w:ind w:left="1495" w:hanging="360"/>
      </w:pPr>
      <w:rPr>
        <w:rFonts w:ascii="Wingdings" w:eastAsia="Calibri"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7B50A92"/>
    <w:multiLevelType w:val="hybridMultilevel"/>
    <w:tmpl w:val="39721B72"/>
    <w:lvl w:ilvl="0" w:tplc="6A0E2CB0">
      <w:numFmt w:val="bullet"/>
      <w:lvlText w:val=""/>
      <w:lvlJc w:val="left"/>
      <w:pPr>
        <w:ind w:left="1440" w:hanging="360"/>
      </w:pPr>
      <w:rPr>
        <w:rFonts w:ascii="Wingdings" w:eastAsia="Calibri" w:hAnsi="Wingdings" w:cs="Aria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A2D30CE"/>
    <w:multiLevelType w:val="hybridMultilevel"/>
    <w:tmpl w:val="FCE6AE36"/>
    <w:lvl w:ilvl="0" w:tplc="C9F0B5F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5B56480E"/>
    <w:multiLevelType w:val="hybridMultilevel"/>
    <w:tmpl w:val="15302382"/>
    <w:lvl w:ilvl="0" w:tplc="61A0CB7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1455A94"/>
    <w:multiLevelType w:val="hybridMultilevel"/>
    <w:tmpl w:val="66EE0F52"/>
    <w:lvl w:ilvl="0" w:tplc="50A06EC2">
      <w:start w:val="2"/>
      <w:numFmt w:val="bullet"/>
      <w:lvlText w:val=""/>
      <w:lvlJc w:val="left"/>
      <w:pPr>
        <w:ind w:left="786" w:hanging="360"/>
      </w:pPr>
      <w:rPr>
        <w:rFonts w:ascii="Symbol" w:eastAsia="Calibri" w:hAnsi="Symbo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666D264C"/>
    <w:multiLevelType w:val="hybridMultilevel"/>
    <w:tmpl w:val="E364FFEA"/>
    <w:lvl w:ilvl="0" w:tplc="FA74C368">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2607BE"/>
    <w:multiLevelType w:val="hybridMultilevel"/>
    <w:tmpl w:val="B75CF164"/>
    <w:lvl w:ilvl="0" w:tplc="CBB0D4A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8B1DF4"/>
    <w:multiLevelType w:val="hybridMultilevel"/>
    <w:tmpl w:val="596A88FC"/>
    <w:lvl w:ilvl="0" w:tplc="E3E213D0">
      <w:numFmt w:val="bullet"/>
      <w:lvlText w:val="-"/>
      <w:lvlJc w:val="left"/>
      <w:pPr>
        <w:ind w:left="1080" w:hanging="360"/>
      </w:pPr>
      <w:rPr>
        <w:rFonts w:ascii="Cambria" w:eastAsia="Calibri" w:hAnsi="Cambri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F205503"/>
    <w:multiLevelType w:val="hybridMultilevel"/>
    <w:tmpl w:val="07A46406"/>
    <w:lvl w:ilvl="0" w:tplc="BFCED574">
      <w:start w:val="1"/>
      <w:numFmt w:val="decimal"/>
      <w:lvlText w:val="%1."/>
      <w:lvlJc w:val="left"/>
      <w:pPr>
        <w:ind w:left="720" w:hanging="360"/>
      </w:pPr>
      <w:rPr>
        <w:rFonts w:ascii="Arial" w:eastAsia="Times New Roman" w:hAnsi="Arial" w:cs="Arial"/>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3"/>
  </w:num>
  <w:num w:numId="5">
    <w:abstractNumId w:val="0"/>
  </w:num>
  <w:num w:numId="6">
    <w:abstractNumId w:val="1"/>
  </w:num>
  <w:num w:numId="7">
    <w:abstractNumId w:val="10"/>
  </w:num>
  <w:num w:numId="8">
    <w:abstractNumId w:val="11"/>
  </w:num>
  <w:num w:numId="9">
    <w:abstractNumId w:val="5"/>
  </w:num>
  <w:num w:numId="10">
    <w:abstractNumId w:val="4"/>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8B"/>
    <w:rsid w:val="00056627"/>
    <w:rsid w:val="00072B54"/>
    <w:rsid w:val="000826B5"/>
    <w:rsid w:val="000969A6"/>
    <w:rsid w:val="000B7555"/>
    <w:rsid w:val="000D0868"/>
    <w:rsid w:val="000F098D"/>
    <w:rsid w:val="001046CF"/>
    <w:rsid w:val="0010677D"/>
    <w:rsid w:val="00112B0C"/>
    <w:rsid w:val="0012338B"/>
    <w:rsid w:val="0018087A"/>
    <w:rsid w:val="00182D63"/>
    <w:rsid w:val="00196BBF"/>
    <w:rsid w:val="001B35F8"/>
    <w:rsid w:val="001B79AB"/>
    <w:rsid w:val="001C00C7"/>
    <w:rsid w:val="001C7415"/>
    <w:rsid w:val="001D753A"/>
    <w:rsid w:val="002159E7"/>
    <w:rsid w:val="00232992"/>
    <w:rsid w:val="002376E4"/>
    <w:rsid w:val="00256DD9"/>
    <w:rsid w:val="00262CA4"/>
    <w:rsid w:val="00265088"/>
    <w:rsid w:val="0026707E"/>
    <w:rsid w:val="002761F4"/>
    <w:rsid w:val="002773D1"/>
    <w:rsid w:val="00281A68"/>
    <w:rsid w:val="002A47F5"/>
    <w:rsid w:val="002C1AF4"/>
    <w:rsid w:val="002C66B0"/>
    <w:rsid w:val="002C744D"/>
    <w:rsid w:val="002D7E82"/>
    <w:rsid w:val="002E09EB"/>
    <w:rsid w:val="002E2D86"/>
    <w:rsid w:val="00324DCD"/>
    <w:rsid w:val="00332E5E"/>
    <w:rsid w:val="00342EF7"/>
    <w:rsid w:val="00351CAC"/>
    <w:rsid w:val="0035631D"/>
    <w:rsid w:val="00372F65"/>
    <w:rsid w:val="0037561B"/>
    <w:rsid w:val="003B758D"/>
    <w:rsid w:val="003E2C24"/>
    <w:rsid w:val="003F4FFE"/>
    <w:rsid w:val="00403CDB"/>
    <w:rsid w:val="00405FBD"/>
    <w:rsid w:val="00412C85"/>
    <w:rsid w:val="004154E9"/>
    <w:rsid w:val="00421409"/>
    <w:rsid w:val="00432DA9"/>
    <w:rsid w:val="00453F64"/>
    <w:rsid w:val="00476B10"/>
    <w:rsid w:val="004B3BC3"/>
    <w:rsid w:val="004D5536"/>
    <w:rsid w:val="0050497E"/>
    <w:rsid w:val="00507E66"/>
    <w:rsid w:val="00527B41"/>
    <w:rsid w:val="00530EAD"/>
    <w:rsid w:val="00540E15"/>
    <w:rsid w:val="005537A9"/>
    <w:rsid w:val="005578B7"/>
    <w:rsid w:val="00560AD8"/>
    <w:rsid w:val="00570FA1"/>
    <w:rsid w:val="005B004B"/>
    <w:rsid w:val="005C3052"/>
    <w:rsid w:val="005D4A10"/>
    <w:rsid w:val="005D5AB3"/>
    <w:rsid w:val="005E4F92"/>
    <w:rsid w:val="00641BE7"/>
    <w:rsid w:val="00685B36"/>
    <w:rsid w:val="00695059"/>
    <w:rsid w:val="006C23B1"/>
    <w:rsid w:val="006D4274"/>
    <w:rsid w:val="006E429D"/>
    <w:rsid w:val="00707B86"/>
    <w:rsid w:val="00716F28"/>
    <w:rsid w:val="00741E12"/>
    <w:rsid w:val="0074477E"/>
    <w:rsid w:val="00760782"/>
    <w:rsid w:val="00797527"/>
    <w:rsid w:val="007A02BF"/>
    <w:rsid w:val="007A5B22"/>
    <w:rsid w:val="007E4C6E"/>
    <w:rsid w:val="007E5FC4"/>
    <w:rsid w:val="007E7BFD"/>
    <w:rsid w:val="008026A8"/>
    <w:rsid w:val="00833A54"/>
    <w:rsid w:val="0086140A"/>
    <w:rsid w:val="00862098"/>
    <w:rsid w:val="0089431A"/>
    <w:rsid w:val="008A2C31"/>
    <w:rsid w:val="008A72BF"/>
    <w:rsid w:val="008B48E8"/>
    <w:rsid w:val="008B64AE"/>
    <w:rsid w:val="008F5271"/>
    <w:rsid w:val="008F544D"/>
    <w:rsid w:val="00900433"/>
    <w:rsid w:val="009022CC"/>
    <w:rsid w:val="00902FB7"/>
    <w:rsid w:val="00916552"/>
    <w:rsid w:val="00921195"/>
    <w:rsid w:val="00957D6B"/>
    <w:rsid w:val="009E3419"/>
    <w:rsid w:val="009F3D53"/>
    <w:rsid w:val="009F6CC5"/>
    <w:rsid w:val="00A07045"/>
    <w:rsid w:val="00A15E44"/>
    <w:rsid w:val="00A43DDF"/>
    <w:rsid w:val="00A62C9B"/>
    <w:rsid w:val="00A679B7"/>
    <w:rsid w:val="00A679EB"/>
    <w:rsid w:val="00A87E46"/>
    <w:rsid w:val="00A92BBE"/>
    <w:rsid w:val="00A943BC"/>
    <w:rsid w:val="00AA18F7"/>
    <w:rsid w:val="00AB7B71"/>
    <w:rsid w:val="00AD42BF"/>
    <w:rsid w:val="00AE43A4"/>
    <w:rsid w:val="00B02E45"/>
    <w:rsid w:val="00B05D24"/>
    <w:rsid w:val="00B201BB"/>
    <w:rsid w:val="00B33B15"/>
    <w:rsid w:val="00B70997"/>
    <w:rsid w:val="00B7188C"/>
    <w:rsid w:val="00B74032"/>
    <w:rsid w:val="00B80A75"/>
    <w:rsid w:val="00B90BAE"/>
    <w:rsid w:val="00B95552"/>
    <w:rsid w:val="00BB103E"/>
    <w:rsid w:val="00BB6BF0"/>
    <w:rsid w:val="00BC7148"/>
    <w:rsid w:val="00BD171E"/>
    <w:rsid w:val="00C34E90"/>
    <w:rsid w:val="00C65404"/>
    <w:rsid w:val="00C76B62"/>
    <w:rsid w:val="00CA24D9"/>
    <w:rsid w:val="00CA7EC5"/>
    <w:rsid w:val="00CB6193"/>
    <w:rsid w:val="00CB6EF4"/>
    <w:rsid w:val="00CD3054"/>
    <w:rsid w:val="00CD5CD6"/>
    <w:rsid w:val="00CE73BA"/>
    <w:rsid w:val="00D307EE"/>
    <w:rsid w:val="00D40C67"/>
    <w:rsid w:val="00D46029"/>
    <w:rsid w:val="00D65BA2"/>
    <w:rsid w:val="00D66E2E"/>
    <w:rsid w:val="00D75173"/>
    <w:rsid w:val="00DC5B53"/>
    <w:rsid w:val="00DC6231"/>
    <w:rsid w:val="00DD3AF2"/>
    <w:rsid w:val="00DF0047"/>
    <w:rsid w:val="00E0711F"/>
    <w:rsid w:val="00E2381B"/>
    <w:rsid w:val="00E255D6"/>
    <w:rsid w:val="00E400FA"/>
    <w:rsid w:val="00E431A2"/>
    <w:rsid w:val="00E47B9C"/>
    <w:rsid w:val="00E57F9C"/>
    <w:rsid w:val="00E821C1"/>
    <w:rsid w:val="00E83D14"/>
    <w:rsid w:val="00E83EB3"/>
    <w:rsid w:val="00E874F2"/>
    <w:rsid w:val="00E90A1D"/>
    <w:rsid w:val="00EB4DE6"/>
    <w:rsid w:val="00EB5AE8"/>
    <w:rsid w:val="00ED4C1B"/>
    <w:rsid w:val="00EE355F"/>
    <w:rsid w:val="00F01027"/>
    <w:rsid w:val="00F36A67"/>
    <w:rsid w:val="00F525D6"/>
    <w:rsid w:val="00F61E4E"/>
    <w:rsid w:val="00FA3DD8"/>
    <w:rsid w:val="00FB1E79"/>
    <w:rsid w:val="00FC4BDC"/>
    <w:rsid w:val="00FD0757"/>
    <w:rsid w:val="00FD70E0"/>
    <w:rsid w:val="00FD7F03"/>
    <w:rsid w:val="00FF66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30DC0"/>
  <w15:docId w15:val="{5CAB34F5-FBDA-48C6-971E-2254CA58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00" w:beforeAutospacing="1"/>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38B"/>
    <w:pPr>
      <w:tabs>
        <w:tab w:val="center" w:pos="4536"/>
        <w:tab w:val="right" w:pos="9072"/>
      </w:tabs>
      <w:spacing w:before="0"/>
    </w:pPr>
  </w:style>
  <w:style w:type="character" w:customStyle="1" w:styleId="HeaderChar">
    <w:name w:val="Header Char"/>
    <w:basedOn w:val="DefaultParagraphFont"/>
    <w:link w:val="Header"/>
    <w:uiPriority w:val="99"/>
    <w:rsid w:val="0012338B"/>
  </w:style>
  <w:style w:type="paragraph" w:styleId="Footer">
    <w:name w:val="footer"/>
    <w:basedOn w:val="Normal"/>
    <w:link w:val="FooterChar"/>
    <w:uiPriority w:val="99"/>
    <w:unhideWhenUsed/>
    <w:rsid w:val="0012338B"/>
    <w:pPr>
      <w:tabs>
        <w:tab w:val="center" w:pos="4536"/>
        <w:tab w:val="right" w:pos="9072"/>
      </w:tabs>
      <w:spacing w:before="0"/>
    </w:pPr>
  </w:style>
  <w:style w:type="character" w:customStyle="1" w:styleId="FooterChar">
    <w:name w:val="Footer Char"/>
    <w:basedOn w:val="DefaultParagraphFont"/>
    <w:link w:val="Footer"/>
    <w:uiPriority w:val="99"/>
    <w:rsid w:val="0012338B"/>
  </w:style>
  <w:style w:type="character" w:styleId="CommentReference">
    <w:name w:val="annotation reference"/>
    <w:basedOn w:val="DefaultParagraphFont"/>
    <w:uiPriority w:val="99"/>
    <w:semiHidden/>
    <w:unhideWhenUsed/>
    <w:rsid w:val="00A62C9B"/>
    <w:rPr>
      <w:sz w:val="16"/>
      <w:szCs w:val="16"/>
    </w:rPr>
  </w:style>
  <w:style w:type="paragraph" w:styleId="CommentText">
    <w:name w:val="annotation text"/>
    <w:basedOn w:val="Normal"/>
    <w:link w:val="CommentTextChar"/>
    <w:uiPriority w:val="99"/>
    <w:semiHidden/>
    <w:unhideWhenUsed/>
    <w:rsid w:val="00A62C9B"/>
    <w:rPr>
      <w:sz w:val="20"/>
      <w:szCs w:val="20"/>
    </w:rPr>
  </w:style>
  <w:style w:type="character" w:customStyle="1" w:styleId="CommentTextChar">
    <w:name w:val="Comment Text Char"/>
    <w:basedOn w:val="DefaultParagraphFont"/>
    <w:link w:val="CommentText"/>
    <w:uiPriority w:val="99"/>
    <w:semiHidden/>
    <w:rsid w:val="00A62C9B"/>
    <w:rPr>
      <w:sz w:val="20"/>
      <w:szCs w:val="20"/>
    </w:rPr>
  </w:style>
  <w:style w:type="paragraph" w:styleId="BalloonText">
    <w:name w:val="Balloon Text"/>
    <w:basedOn w:val="Normal"/>
    <w:link w:val="BalloonTextChar"/>
    <w:uiPriority w:val="99"/>
    <w:semiHidden/>
    <w:unhideWhenUsed/>
    <w:rsid w:val="00A62C9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9B"/>
    <w:rPr>
      <w:rFonts w:ascii="Tahoma" w:hAnsi="Tahoma" w:cs="Tahoma"/>
      <w:sz w:val="16"/>
      <w:szCs w:val="16"/>
    </w:rPr>
  </w:style>
  <w:style w:type="paragraph" w:styleId="ListParagraph">
    <w:name w:val="List Paragraph"/>
    <w:basedOn w:val="Normal"/>
    <w:uiPriority w:val="34"/>
    <w:qFormat/>
    <w:rsid w:val="00E57F9C"/>
    <w:pPr>
      <w:spacing w:before="0" w:beforeAutospacing="0"/>
      <w:ind w:left="720" w:firstLine="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EB4DE6"/>
    <w:rPr>
      <w:b/>
      <w:bCs/>
    </w:rPr>
  </w:style>
  <w:style w:type="character" w:customStyle="1" w:styleId="CommentSubjectChar">
    <w:name w:val="Comment Subject Char"/>
    <w:basedOn w:val="CommentTextChar"/>
    <w:link w:val="CommentSubject"/>
    <w:uiPriority w:val="99"/>
    <w:semiHidden/>
    <w:rsid w:val="00EB4DE6"/>
    <w:rPr>
      <w:b/>
      <w:bCs/>
      <w:sz w:val="20"/>
      <w:szCs w:val="20"/>
    </w:rPr>
  </w:style>
  <w:style w:type="paragraph" w:styleId="FootnoteText">
    <w:name w:val="footnote text"/>
    <w:aliases w:val="Footnote reference,FA Fu,Footnote Text Char Char Char Char Char,Footnote Text Char Char Char Char,Footnote Text Char Char Char,Car1,Car1 Car Car Car Car Car,Car1 Car Car Car Car Car Car Car,Car1 Car Car Car Car Car Car Car Car Ca,Ca"/>
    <w:basedOn w:val="Normal"/>
    <w:link w:val="FootnoteTextChar"/>
    <w:uiPriority w:val="99"/>
    <w:unhideWhenUsed/>
    <w:qFormat/>
    <w:rsid w:val="000F098D"/>
    <w:pPr>
      <w:spacing w:before="0" w:beforeAutospacing="0"/>
      <w:ind w:left="0" w:firstLine="0"/>
    </w:pPr>
    <w:rPr>
      <w:rFonts w:ascii="Calibri" w:eastAsia="Calibri" w:hAnsi="Calibri" w:cs="Calibri"/>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Car1 Char,Car1 Car Car Car Car Car Char,Car1 Car Car Car Car Car Car Car Char"/>
    <w:basedOn w:val="DefaultParagraphFont"/>
    <w:link w:val="FootnoteText"/>
    <w:uiPriority w:val="99"/>
    <w:rsid w:val="000F098D"/>
    <w:rPr>
      <w:rFonts w:ascii="Calibri" w:eastAsia="Calibri" w:hAnsi="Calibri" w:cs="Calibri"/>
      <w:sz w:val="20"/>
      <w:szCs w:val="20"/>
    </w:rPr>
  </w:style>
  <w:style w:type="character" w:styleId="FootnoteReference">
    <w:name w:val="footnote reference"/>
    <w:aliases w:val="Ref Car Car Car Car,de nota al pie Car Car Car Car,BVI fnr Char Car Car Car Car Car,BVI fnr Char Car Car Car Char Char Car Car Car Car Car Car,Ref Car Car Car Car Car Car Car Car Car Car Car Car,Ref Car Car Car Car Car,f Car Car"/>
    <w:basedOn w:val="DefaultParagraphFont"/>
    <w:link w:val="RefCarCarCar"/>
    <w:uiPriority w:val="99"/>
    <w:unhideWhenUsed/>
    <w:rsid w:val="000F098D"/>
    <w:rPr>
      <w:vertAlign w:val="superscript"/>
    </w:rPr>
  </w:style>
  <w:style w:type="paragraph" w:customStyle="1" w:styleId="RefCarCarCar">
    <w:name w:val="Ref Car Car Car"/>
    <w:aliases w:val="de nota al pie Car Car Car,BVI fnr Char Car Car Car Car,BVI fnr Char Car Car Car Char Char Car Car Car Car Car,Ref Car Car Car Car Car Car Car Car Car Car Car,f Car Car Car"/>
    <w:basedOn w:val="Normal"/>
    <w:link w:val="FootnoteReference"/>
    <w:uiPriority w:val="99"/>
    <w:rsid w:val="000F098D"/>
    <w:pPr>
      <w:spacing w:before="0" w:beforeAutospacing="0" w:after="160" w:line="240" w:lineRule="exact"/>
      <w:ind w:left="0" w:firstLine="0"/>
      <w:jc w:val="left"/>
    </w:pPr>
    <w:rPr>
      <w:vertAlign w:val="superscript"/>
    </w:rPr>
  </w:style>
  <w:style w:type="character" w:styleId="Strong">
    <w:name w:val="Strong"/>
    <w:basedOn w:val="DefaultParagraphFont"/>
    <w:uiPriority w:val="22"/>
    <w:qFormat/>
    <w:rsid w:val="00BD171E"/>
    <w:rPr>
      <w:b/>
      <w:bCs/>
    </w:rPr>
  </w:style>
  <w:style w:type="character" w:customStyle="1" w:styleId="st">
    <w:name w:val="st"/>
    <w:basedOn w:val="DefaultParagraphFont"/>
    <w:rsid w:val="00332E5E"/>
  </w:style>
  <w:style w:type="character" w:styleId="Hyperlink">
    <w:name w:val="Hyperlink"/>
    <w:basedOn w:val="DefaultParagraphFont"/>
    <w:uiPriority w:val="99"/>
    <w:unhideWhenUsed/>
    <w:rsid w:val="0089431A"/>
    <w:rPr>
      <w:color w:val="0000FF" w:themeColor="hyperlink"/>
      <w:u w:val="single"/>
    </w:rPr>
  </w:style>
  <w:style w:type="paragraph" w:customStyle="1" w:styleId="textecourant">
    <w:name w:val="texte courant"/>
    <w:rsid w:val="0089431A"/>
    <w:pPr>
      <w:widowControl w:val="0"/>
      <w:spacing w:before="0" w:beforeAutospacing="0"/>
      <w:ind w:left="0" w:firstLine="454"/>
    </w:pPr>
    <w:rPr>
      <w:rFonts w:ascii="Garamond" w:eastAsia="Times New Roman" w:hAnsi="Garamond" w:cs="Times New Roman"/>
      <w:sz w:val="24"/>
      <w:szCs w:val="20"/>
      <w:lang w:eastAsia="fr-FR"/>
    </w:rPr>
  </w:style>
  <w:style w:type="paragraph" w:styleId="PlainText">
    <w:name w:val="Plain Text"/>
    <w:basedOn w:val="Normal"/>
    <w:link w:val="PlainTextChar"/>
    <w:uiPriority w:val="99"/>
    <w:semiHidden/>
    <w:unhideWhenUsed/>
    <w:rsid w:val="00B80A75"/>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80A75"/>
    <w:rPr>
      <w:rFonts w:ascii="Consolas" w:hAnsi="Consolas" w:cs="Consolas"/>
      <w:sz w:val="21"/>
      <w:szCs w:val="21"/>
    </w:rPr>
  </w:style>
  <w:style w:type="character" w:styleId="FollowedHyperlink">
    <w:name w:val="FollowedHyperlink"/>
    <w:basedOn w:val="DefaultParagraphFont"/>
    <w:uiPriority w:val="99"/>
    <w:semiHidden/>
    <w:unhideWhenUsed/>
    <w:rsid w:val="0007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2288">
      <w:bodyDiv w:val="1"/>
      <w:marLeft w:val="0"/>
      <w:marRight w:val="0"/>
      <w:marTop w:val="0"/>
      <w:marBottom w:val="0"/>
      <w:divBdr>
        <w:top w:val="none" w:sz="0" w:space="0" w:color="auto"/>
        <w:left w:val="none" w:sz="0" w:space="0" w:color="auto"/>
        <w:bottom w:val="none" w:sz="0" w:space="0" w:color="auto"/>
        <w:right w:val="none" w:sz="0" w:space="0" w:color="auto"/>
      </w:divBdr>
    </w:div>
    <w:div w:id="464204791">
      <w:bodyDiv w:val="1"/>
      <w:marLeft w:val="0"/>
      <w:marRight w:val="0"/>
      <w:marTop w:val="0"/>
      <w:marBottom w:val="0"/>
      <w:divBdr>
        <w:top w:val="none" w:sz="0" w:space="0" w:color="auto"/>
        <w:left w:val="none" w:sz="0" w:space="0" w:color="auto"/>
        <w:bottom w:val="none" w:sz="0" w:space="0" w:color="auto"/>
        <w:right w:val="none" w:sz="0" w:space="0" w:color="auto"/>
      </w:divBdr>
    </w:div>
    <w:div w:id="510604673">
      <w:bodyDiv w:val="1"/>
      <w:marLeft w:val="0"/>
      <w:marRight w:val="0"/>
      <w:marTop w:val="0"/>
      <w:marBottom w:val="0"/>
      <w:divBdr>
        <w:top w:val="none" w:sz="0" w:space="0" w:color="auto"/>
        <w:left w:val="none" w:sz="0" w:space="0" w:color="auto"/>
        <w:bottom w:val="none" w:sz="0" w:space="0" w:color="auto"/>
        <w:right w:val="none" w:sz="0" w:space="0" w:color="auto"/>
      </w:divBdr>
    </w:div>
    <w:div w:id="604387545">
      <w:bodyDiv w:val="1"/>
      <w:marLeft w:val="0"/>
      <w:marRight w:val="0"/>
      <w:marTop w:val="0"/>
      <w:marBottom w:val="0"/>
      <w:divBdr>
        <w:top w:val="none" w:sz="0" w:space="0" w:color="auto"/>
        <w:left w:val="none" w:sz="0" w:space="0" w:color="auto"/>
        <w:bottom w:val="none" w:sz="0" w:space="0" w:color="auto"/>
        <w:right w:val="none" w:sz="0" w:space="0" w:color="auto"/>
      </w:divBdr>
    </w:div>
    <w:div w:id="18632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ladocumentationfrancaise.fr/var/storage/rapports-publics/174000024.pdf" TargetMode="External"/><Relationship Id="rId2" Type="http://schemas.openxmlformats.org/officeDocument/2006/relationships/hyperlink" Target="http://www.cncdh.fr/fr/publications/entreprises-et-droits-de-lhomme" TargetMode="External"/><Relationship Id="rId1" Type="http://schemas.openxmlformats.org/officeDocument/2006/relationships/hyperlink" Target="http://www.cncdh.fr/fr/publications/la-responsabilite-des-entreprises-en-matiere-de-droits-de-lhomme-0" TargetMode="External"/><Relationship Id="rId4" Type="http://schemas.openxmlformats.org/officeDocument/2006/relationships/hyperlink" Target="https://www.cncdh.fr/fr/publications/declaration-sur-ladoption-dun-instrument-international-contraignant-sur-les-entrepri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5E6DC3-B4B0-45AF-93BA-68FC01814EF8}">
  <ds:schemaRefs>
    <ds:schemaRef ds:uri="http://schemas.openxmlformats.org/officeDocument/2006/bibliography"/>
  </ds:schemaRefs>
</ds:datastoreItem>
</file>

<file path=customXml/itemProps2.xml><?xml version="1.0" encoding="utf-8"?>
<ds:datastoreItem xmlns:ds="http://schemas.openxmlformats.org/officeDocument/2006/customXml" ds:itemID="{A3753F18-01A2-488C-A9DC-40E57DE13B22}"/>
</file>

<file path=customXml/itemProps3.xml><?xml version="1.0" encoding="utf-8"?>
<ds:datastoreItem xmlns:ds="http://schemas.openxmlformats.org/officeDocument/2006/customXml" ds:itemID="{BABA005C-646B-4CEF-B69C-2D6DA061611C}"/>
</file>

<file path=customXml/itemProps4.xml><?xml version="1.0" encoding="utf-8"?>
<ds:datastoreItem xmlns:ds="http://schemas.openxmlformats.org/officeDocument/2006/customXml" ds:itemID="{06A58386-3DD9-4C1C-B271-5A92C682B467}"/>
</file>

<file path=docProps/app.xml><?xml version="1.0" encoding="utf-8"?>
<Properties xmlns="http://schemas.openxmlformats.org/officeDocument/2006/extended-properties" xmlns:vt="http://schemas.openxmlformats.org/officeDocument/2006/docPropsVTypes">
  <Template>Normal.dotm</Template>
  <TotalTime>2</TotalTime>
  <Pages>8</Pages>
  <Words>1765</Words>
  <Characters>10067</Characters>
  <Application>Microsoft Office Word</Application>
  <DocSecurity>4</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SPM</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Secretariat</cp:lastModifiedBy>
  <cp:revision>2</cp:revision>
  <dcterms:created xsi:type="dcterms:W3CDTF">2019-03-01T09:22:00Z</dcterms:created>
  <dcterms:modified xsi:type="dcterms:W3CDTF">2019-03-01T09:22:00Z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