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7A" w:rsidRDefault="0076417A" w:rsidP="0076417A">
      <w:pPr>
        <w:pStyle w:val="Textebrut"/>
        <w:spacing w:line="360" w:lineRule="auto"/>
        <w:jc w:val="both"/>
      </w:pPr>
      <w:r w:rsidRPr="00D9302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-128270</wp:posOffset>
            </wp:positionV>
            <wp:extent cx="1725315" cy="1050925"/>
            <wp:effectExtent l="0" t="0" r="8255" b="0"/>
            <wp:wrapTight wrapText="bothSides">
              <wp:wrapPolygon edited="0">
                <wp:start x="0" y="0"/>
                <wp:lineTo x="0" y="21143"/>
                <wp:lineTo x="21465" y="21143"/>
                <wp:lineTo x="214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CDH JPEG Lettres Noi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1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17A" w:rsidRDefault="0076417A" w:rsidP="0076417A">
      <w:pPr>
        <w:pStyle w:val="Textebrut"/>
        <w:spacing w:line="360" w:lineRule="auto"/>
        <w:jc w:val="both"/>
      </w:pPr>
    </w:p>
    <w:p w:rsidR="0076417A" w:rsidRDefault="0076417A" w:rsidP="0076417A">
      <w:pPr>
        <w:pStyle w:val="Textebrut"/>
        <w:spacing w:line="360" w:lineRule="auto"/>
        <w:jc w:val="both"/>
      </w:pPr>
    </w:p>
    <w:p w:rsidR="0076417A" w:rsidRDefault="0076417A" w:rsidP="0076417A">
      <w:pPr>
        <w:pStyle w:val="Textebrut"/>
        <w:spacing w:line="360" w:lineRule="auto"/>
        <w:jc w:val="both"/>
      </w:pPr>
    </w:p>
    <w:p w:rsidR="0076417A" w:rsidRDefault="0076417A" w:rsidP="0076417A">
      <w:pPr>
        <w:pStyle w:val="Titre"/>
        <w:jc w:val="center"/>
        <w:rPr>
          <w:sz w:val="40"/>
        </w:rPr>
      </w:pPr>
    </w:p>
    <w:p w:rsidR="0076417A" w:rsidRPr="00D93023" w:rsidRDefault="0076417A" w:rsidP="0076417A">
      <w:pPr>
        <w:pStyle w:val="Titre"/>
        <w:jc w:val="center"/>
        <w:rPr>
          <w:sz w:val="40"/>
        </w:rPr>
      </w:pPr>
      <w:r w:rsidRPr="00D93023">
        <w:rPr>
          <w:sz w:val="40"/>
        </w:rPr>
        <w:t xml:space="preserve">Retranscription de la vidéo </w:t>
      </w:r>
      <w:r>
        <w:rPr>
          <w:sz w:val="40"/>
        </w:rPr>
        <w:t>sur l’avis</w:t>
      </w:r>
      <w:r>
        <w:rPr>
          <w:sz w:val="40"/>
        </w:rPr>
        <w:br/>
        <w:t>accès aux droits et non-recours.</w:t>
      </w:r>
    </w:p>
    <w:p w:rsidR="0076417A" w:rsidRPr="00D93023" w:rsidRDefault="0076417A" w:rsidP="0076417A"/>
    <w:p w:rsidR="0076417A" w:rsidRPr="00D93023" w:rsidRDefault="0076417A" w:rsidP="0076417A"/>
    <w:p w:rsidR="0076417A" w:rsidRPr="00463BBD" w:rsidRDefault="0076417A" w:rsidP="00F70E44">
      <w:pPr>
        <w:pStyle w:val="Textebrut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463BBD">
        <w:rPr>
          <w:rFonts w:asciiTheme="minorHAnsi" w:hAnsiTheme="minorHAnsi"/>
          <w:i/>
          <w:sz w:val="22"/>
          <w:szCs w:val="22"/>
        </w:rPr>
        <w:t xml:space="preserve">[La vidéo a été mise en ligne en </w:t>
      </w:r>
      <w:r w:rsidR="00F70E44" w:rsidRPr="00463BBD">
        <w:rPr>
          <w:rFonts w:asciiTheme="minorHAnsi" w:hAnsiTheme="minorHAnsi"/>
          <w:i/>
          <w:sz w:val="22"/>
          <w:szCs w:val="22"/>
        </w:rPr>
        <w:t>avril 2022</w:t>
      </w:r>
      <w:r w:rsidRPr="00463BBD">
        <w:rPr>
          <w:rFonts w:asciiTheme="minorHAnsi" w:hAnsiTheme="minorHAnsi"/>
          <w:i/>
          <w:sz w:val="22"/>
          <w:szCs w:val="22"/>
        </w:rPr>
        <w:t>.</w:t>
      </w:r>
      <w:r w:rsidR="00F70E44" w:rsidRPr="00463BBD">
        <w:rPr>
          <w:rFonts w:asciiTheme="minorHAnsi" w:hAnsiTheme="minorHAnsi"/>
          <w:i/>
          <w:sz w:val="22"/>
          <w:szCs w:val="22"/>
        </w:rPr>
        <w:t xml:space="preserve"> Deux personnes parlent : Soraya </w:t>
      </w:r>
      <w:proofErr w:type="spellStart"/>
      <w:r w:rsidR="00F70E44" w:rsidRPr="00463BBD">
        <w:rPr>
          <w:rFonts w:asciiTheme="minorHAnsi" w:hAnsiTheme="minorHAnsi"/>
          <w:i/>
          <w:sz w:val="22"/>
          <w:szCs w:val="22"/>
        </w:rPr>
        <w:t>Amrani-Mekki</w:t>
      </w:r>
      <w:proofErr w:type="spellEnd"/>
      <w:r w:rsidR="00F70E44" w:rsidRPr="00463BBD">
        <w:rPr>
          <w:rFonts w:asciiTheme="minorHAnsi" w:hAnsiTheme="minorHAnsi"/>
          <w:i/>
          <w:sz w:val="22"/>
          <w:szCs w:val="22"/>
        </w:rPr>
        <w:t xml:space="preserve"> et </w:t>
      </w:r>
      <w:proofErr w:type="spellStart"/>
      <w:r w:rsidR="00136DA7" w:rsidRPr="00463BBD">
        <w:rPr>
          <w:rFonts w:asciiTheme="minorHAnsi" w:hAnsiTheme="minorHAnsi"/>
          <w:i/>
          <w:sz w:val="22"/>
          <w:szCs w:val="22"/>
        </w:rPr>
        <w:t>Sonya</w:t>
      </w:r>
      <w:proofErr w:type="spellEnd"/>
      <w:r w:rsidR="00136DA7" w:rsidRPr="00463BB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36DA7" w:rsidRPr="00463BBD">
        <w:rPr>
          <w:rFonts w:asciiTheme="minorHAnsi" w:hAnsiTheme="minorHAnsi"/>
          <w:i/>
          <w:sz w:val="22"/>
          <w:szCs w:val="22"/>
        </w:rPr>
        <w:t>Djemni</w:t>
      </w:r>
      <w:proofErr w:type="spellEnd"/>
      <w:r w:rsidR="00136DA7" w:rsidRPr="00463BBD">
        <w:rPr>
          <w:rFonts w:asciiTheme="minorHAnsi" w:hAnsiTheme="minorHAnsi"/>
          <w:i/>
          <w:sz w:val="22"/>
          <w:szCs w:val="22"/>
        </w:rPr>
        <w:t xml:space="preserve">-Wagner, </w:t>
      </w:r>
      <w:proofErr w:type="spellStart"/>
      <w:r w:rsidR="00136DA7" w:rsidRPr="00463BBD">
        <w:rPr>
          <w:rFonts w:asciiTheme="minorHAnsi" w:hAnsiTheme="minorHAnsi"/>
          <w:i/>
          <w:sz w:val="22"/>
          <w:szCs w:val="22"/>
        </w:rPr>
        <w:t>co-rapporteures</w:t>
      </w:r>
      <w:proofErr w:type="spellEnd"/>
      <w:r w:rsidR="00136DA7" w:rsidRPr="00463BBD">
        <w:rPr>
          <w:rFonts w:asciiTheme="minorHAnsi" w:hAnsiTheme="minorHAnsi"/>
          <w:i/>
          <w:sz w:val="22"/>
          <w:szCs w:val="22"/>
        </w:rPr>
        <w:t xml:space="preserve"> de l’avis. </w:t>
      </w:r>
      <w:r w:rsidRPr="00463BBD">
        <w:rPr>
          <w:rFonts w:asciiTheme="minorHAnsi" w:hAnsiTheme="minorHAnsi"/>
          <w:i/>
          <w:sz w:val="22"/>
          <w:szCs w:val="22"/>
        </w:rPr>
        <w:t xml:space="preserve">La vidéo est accessible avec le lien suivant : </w:t>
      </w:r>
      <w:hyperlink r:id="rId5" w:history="1">
        <w:r w:rsidR="004076B6" w:rsidRPr="005D6661">
          <w:rPr>
            <w:rStyle w:val="Lienhypertexte"/>
            <w:rFonts w:asciiTheme="minorHAnsi" w:hAnsiTheme="minorHAnsi"/>
            <w:i/>
            <w:sz w:val="22"/>
            <w:szCs w:val="22"/>
          </w:rPr>
          <w:t>https://www.youtube.com/watch?v=OtVAVVNAvI4</w:t>
        </w:r>
      </w:hyperlink>
      <w:r w:rsidR="004076B6">
        <w:rPr>
          <w:rFonts w:asciiTheme="minorHAnsi" w:hAnsiTheme="minorHAnsi"/>
          <w:i/>
          <w:sz w:val="22"/>
          <w:szCs w:val="22"/>
        </w:rPr>
        <w:t xml:space="preserve"> </w:t>
      </w:r>
      <w:bookmarkStart w:id="0" w:name="_GoBack"/>
      <w:bookmarkEnd w:id="0"/>
      <w:r w:rsidR="005A77D4" w:rsidRPr="00463BBD">
        <w:rPr>
          <w:rFonts w:asciiTheme="minorHAnsi" w:hAnsiTheme="minorHAnsi"/>
          <w:i/>
          <w:sz w:val="22"/>
          <w:szCs w:val="22"/>
        </w:rPr>
        <w:t>]</w:t>
      </w:r>
    </w:p>
    <w:p w:rsidR="0076417A" w:rsidRDefault="0076417A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67C11" w:rsidRPr="00467C11" w:rsidRDefault="00467C11" w:rsidP="0076417A">
      <w:pPr>
        <w:pStyle w:val="Textebru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7C11">
        <w:rPr>
          <w:rFonts w:asciiTheme="minorHAnsi" w:hAnsiTheme="minorHAnsi"/>
          <w:b/>
          <w:sz w:val="22"/>
          <w:szCs w:val="22"/>
        </w:rPr>
        <w:t xml:space="preserve">Comment garantir l’accès aux droits et lutter contre les non-recours ? </w:t>
      </w:r>
    </w:p>
    <w:p w:rsidR="00467C11" w:rsidRDefault="00467C11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67C11" w:rsidRDefault="00467C11" w:rsidP="0076417A">
      <w:pPr>
        <w:pStyle w:val="Textebru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7C11">
        <w:rPr>
          <w:rFonts w:asciiTheme="minorHAnsi" w:hAnsiTheme="minorHAnsi"/>
          <w:b/>
          <w:sz w:val="22"/>
          <w:szCs w:val="22"/>
        </w:rPr>
        <w:t>Premier panneau sur lequel il est écrit : « Les non-recours, de quoi s’agit-il précisément ? »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71E0A">
        <w:rPr>
          <w:rFonts w:asciiTheme="minorHAnsi" w:hAnsiTheme="minorHAnsi"/>
          <w:sz w:val="22"/>
          <w:szCs w:val="22"/>
        </w:rPr>
        <w:t xml:space="preserve">La CNCDH, dans son avis adopté à l'unanimité le 24 mars 2022, </w:t>
      </w:r>
      <w:r w:rsidR="006C6724" w:rsidRPr="00671E0A">
        <w:rPr>
          <w:rFonts w:asciiTheme="minorHAnsi" w:hAnsiTheme="minorHAnsi"/>
          <w:sz w:val="22"/>
          <w:szCs w:val="22"/>
        </w:rPr>
        <w:t>a</w:t>
      </w:r>
      <w:r w:rsidRPr="00671E0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travaillé sur les causes de non-recours.</w:t>
      </w: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417A">
        <w:rPr>
          <w:rFonts w:asciiTheme="minorHAnsi" w:hAnsiTheme="minorHAnsi"/>
          <w:sz w:val="22"/>
          <w:szCs w:val="22"/>
        </w:rPr>
        <w:t>Il faut tout d'abord souligner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 xml:space="preserve">que l'utilisation même du terme "non-recours" pose problème. </w:t>
      </w: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417A">
        <w:rPr>
          <w:rFonts w:asciiTheme="minorHAnsi" w:hAnsiTheme="minorHAnsi"/>
          <w:sz w:val="22"/>
          <w:szCs w:val="22"/>
        </w:rPr>
        <w:t xml:space="preserve">Le terme est </w:t>
      </w:r>
      <w:r w:rsidR="006C6724" w:rsidRPr="0076417A">
        <w:rPr>
          <w:rFonts w:asciiTheme="minorHAnsi" w:hAnsiTheme="minorHAnsi"/>
          <w:sz w:val="22"/>
          <w:szCs w:val="22"/>
        </w:rPr>
        <w:t>critiquable</w:t>
      </w:r>
      <w:r w:rsidRPr="0076417A">
        <w:rPr>
          <w:rFonts w:asciiTheme="minorHAnsi" w:hAnsiTheme="minorHAnsi"/>
          <w:sz w:val="22"/>
          <w:szCs w:val="22"/>
        </w:rPr>
        <w:t xml:space="preserve"> en soi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parce qu'il laisse à penser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que ce sont les bénéficiaires de droit, les personnes qui sont responsables du fait de ne pas avoir recouru,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 xml:space="preserve">parce qu'elles n'ont pas su, </w:t>
      </w:r>
      <w:r w:rsidR="006C6724" w:rsidRPr="0076417A">
        <w:rPr>
          <w:rFonts w:asciiTheme="minorHAnsi" w:hAnsiTheme="minorHAnsi"/>
          <w:sz w:val="22"/>
          <w:szCs w:val="22"/>
        </w:rPr>
        <w:t xml:space="preserve">parce qu'elles n'ont pas pu, </w:t>
      </w:r>
      <w:r w:rsidRPr="0076417A">
        <w:rPr>
          <w:rFonts w:asciiTheme="minorHAnsi" w:hAnsiTheme="minorHAnsi"/>
          <w:sz w:val="22"/>
          <w:szCs w:val="22"/>
        </w:rPr>
        <w:t>et qu'il faudrait les accompagner pour pouvoir réclamer ces droits.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Bien au contraire la CNCDH souhaite alerter sur le fait que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 xml:space="preserve">c'est la manière dont sont pensées les mises en </w:t>
      </w:r>
      <w:r w:rsidR="006C6724" w:rsidRPr="0076417A">
        <w:rPr>
          <w:rFonts w:asciiTheme="minorHAnsi" w:hAnsiTheme="minorHAnsi"/>
          <w:sz w:val="22"/>
          <w:szCs w:val="22"/>
        </w:rPr>
        <w:t>œuvre</w:t>
      </w:r>
      <w:r w:rsidRPr="0076417A">
        <w:rPr>
          <w:rFonts w:asciiTheme="minorHAnsi" w:hAnsiTheme="minorHAnsi"/>
          <w:sz w:val="22"/>
          <w:szCs w:val="22"/>
        </w:rPr>
        <w:t xml:space="preserve"> des politiques publiques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qui est responsable de ces non-recours.</w:t>
      </w: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417A">
        <w:rPr>
          <w:rFonts w:asciiTheme="minorHAnsi" w:hAnsiTheme="minorHAnsi"/>
          <w:sz w:val="22"/>
          <w:szCs w:val="22"/>
        </w:rPr>
        <w:t xml:space="preserve">Parce que ces politiques publiques sont pensées dans un souci de performance économique, dans un souci managérial, alors que la mise en </w:t>
      </w:r>
      <w:r w:rsidR="006C6724" w:rsidRPr="0076417A">
        <w:rPr>
          <w:rFonts w:asciiTheme="minorHAnsi" w:hAnsiTheme="minorHAnsi"/>
          <w:sz w:val="22"/>
          <w:szCs w:val="22"/>
        </w:rPr>
        <w:t>œuvre</w:t>
      </w:r>
      <w:r w:rsidRPr="0076417A">
        <w:rPr>
          <w:rFonts w:asciiTheme="minorHAnsi" w:hAnsiTheme="minorHAnsi"/>
          <w:sz w:val="22"/>
          <w:szCs w:val="22"/>
        </w:rPr>
        <w:t xml:space="preserve"> des mécanismes sociaux notamment</w:t>
      </w:r>
      <w:r w:rsidR="006C6724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devrait être pensée avec les personnes, pour les personnes.</w:t>
      </w:r>
    </w:p>
    <w:p w:rsidR="00DB5236" w:rsidRPr="006C6724" w:rsidRDefault="00DB5236" w:rsidP="002638E2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Pr="006C6724" w:rsidRDefault="00DB5236" w:rsidP="002638E2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724">
        <w:rPr>
          <w:rFonts w:asciiTheme="minorHAnsi" w:hAnsiTheme="minorHAnsi"/>
          <w:sz w:val="22"/>
          <w:szCs w:val="22"/>
        </w:rPr>
        <w:t xml:space="preserve">Les non-recours sont parfaitement objectivés. </w:t>
      </w:r>
      <w:r w:rsidR="006C6724" w:rsidRPr="006C6724">
        <w:rPr>
          <w:rFonts w:asciiTheme="minorHAnsi" w:hAnsiTheme="minorHAnsi"/>
          <w:sz w:val="22"/>
          <w:szCs w:val="22"/>
        </w:rPr>
        <w:t xml:space="preserve">On le sait, par exemple </w:t>
      </w:r>
      <w:r w:rsidRPr="006C6724">
        <w:rPr>
          <w:rFonts w:asciiTheme="minorHAnsi" w:hAnsiTheme="minorHAnsi"/>
          <w:sz w:val="22"/>
          <w:szCs w:val="22"/>
        </w:rPr>
        <w:t>il y a 30% des bénéficiaires du Revenu de solidarité active qui ne réclament pas leur droit.</w:t>
      </w:r>
      <w:r w:rsidR="002638E2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Malheureusement ces non-recours sont bien plus larges.</w:t>
      </w:r>
      <w:r w:rsid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 xml:space="preserve">Ils touchent tous les droits humains : le droit à la santé, le droit à l'éducation, le droit au juge, le droit au logement. </w:t>
      </w:r>
    </w:p>
    <w:p w:rsidR="00DB5236" w:rsidRPr="006C6724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Pr="006C6724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724">
        <w:rPr>
          <w:rFonts w:asciiTheme="minorHAnsi" w:hAnsiTheme="minorHAnsi"/>
          <w:sz w:val="22"/>
          <w:szCs w:val="22"/>
        </w:rPr>
        <w:t>La CNCDH souhaite également alerter sur la variété des non-recours.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Il y a évidemment des non-recours complets et involontaires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mais il existe également des non-recours volontaires</w:t>
      </w:r>
      <w:r w:rsid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 xml:space="preserve">lorsque les </w:t>
      </w:r>
      <w:r w:rsidRPr="006C6724">
        <w:rPr>
          <w:rFonts w:asciiTheme="minorHAnsi" w:hAnsiTheme="minorHAnsi"/>
          <w:sz w:val="22"/>
          <w:szCs w:val="22"/>
        </w:rPr>
        <w:lastRenderedPageBreak/>
        <w:t>perso</w:t>
      </w:r>
      <w:r w:rsidR="006C6724" w:rsidRPr="006C6724">
        <w:rPr>
          <w:rFonts w:asciiTheme="minorHAnsi" w:hAnsiTheme="minorHAnsi"/>
          <w:sz w:val="22"/>
          <w:szCs w:val="22"/>
        </w:rPr>
        <w:t xml:space="preserve">nnes volontairement choisissent </w:t>
      </w:r>
      <w:r w:rsidRPr="006C6724">
        <w:rPr>
          <w:rFonts w:asciiTheme="minorHAnsi" w:hAnsiTheme="minorHAnsi"/>
          <w:sz w:val="22"/>
          <w:szCs w:val="22"/>
        </w:rPr>
        <w:t>de ne pas revendiquer, réclamer leurs droits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parce qu'elles ont un stress lié à l'</w:t>
      </w:r>
      <w:r w:rsidR="006C6724" w:rsidRPr="006C6724">
        <w:rPr>
          <w:rFonts w:asciiTheme="minorHAnsi" w:hAnsiTheme="minorHAnsi"/>
          <w:sz w:val="22"/>
          <w:szCs w:val="22"/>
        </w:rPr>
        <w:t>indu, un</w:t>
      </w:r>
      <w:r w:rsidRPr="006C6724">
        <w:rPr>
          <w:rFonts w:asciiTheme="minorHAnsi" w:hAnsiTheme="minorHAnsi"/>
          <w:sz w:val="22"/>
          <w:szCs w:val="22"/>
        </w:rPr>
        <w:t xml:space="preserve"> stress lié à l'éventualité de devoir rembourser leurs prestations sociales.</w:t>
      </w:r>
    </w:p>
    <w:p w:rsidR="00DB5236" w:rsidRPr="006C6724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724">
        <w:rPr>
          <w:rFonts w:asciiTheme="minorHAnsi" w:hAnsiTheme="minorHAnsi"/>
          <w:sz w:val="22"/>
          <w:szCs w:val="22"/>
        </w:rPr>
        <w:t>Il existe également des non-recours partiels,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lorsque les personnes n'arrivent à obtenir la totalité de leurs droits.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Et parce que ces non-recours manifestent le fait que, aujourd'hui, en France,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l'effectivité des droits humains n'est pas garantie, n'est pas assurée,</w:t>
      </w:r>
      <w:r w:rsidR="006C6724" w:rsidRPr="006C6724">
        <w:rPr>
          <w:rFonts w:asciiTheme="minorHAnsi" w:hAnsiTheme="minorHAnsi"/>
          <w:sz w:val="22"/>
          <w:szCs w:val="22"/>
        </w:rPr>
        <w:t xml:space="preserve"> </w:t>
      </w:r>
      <w:r w:rsidRPr="006C6724">
        <w:rPr>
          <w:rFonts w:asciiTheme="minorHAnsi" w:hAnsiTheme="minorHAnsi"/>
          <w:sz w:val="22"/>
          <w:szCs w:val="22"/>
        </w:rPr>
        <w:t>que la CNCDH formule quinze recommandations pour lutter contre les non-recours.</w:t>
      </w:r>
    </w:p>
    <w:p w:rsidR="00467C11" w:rsidRDefault="00467C11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67C11" w:rsidRPr="00467C11" w:rsidRDefault="00467C11" w:rsidP="0076417A">
      <w:pPr>
        <w:pStyle w:val="Textebru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7C11">
        <w:rPr>
          <w:rFonts w:asciiTheme="minorHAnsi" w:hAnsiTheme="minorHAnsi"/>
          <w:b/>
          <w:sz w:val="22"/>
          <w:szCs w:val="22"/>
        </w:rPr>
        <w:t>Deuxième panneau sur lequel est écrit : « Quelles sont les recommandations de la CNCDH ? ».</w:t>
      </w:r>
    </w:p>
    <w:p w:rsidR="00DB5236" w:rsidRPr="002638E2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8E2">
        <w:rPr>
          <w:rFonts w:asciiTheme="minorHAnsi" w:hAnsiTheme="minorHAnsi"/>
          <w:sz w:val="22"/>
          <w:szCs w:val="22"/>
        </w:rPr>
        <w:t>Ce qui doit donc être posé</w:t>
      </w:r>
      <w:r w:rsidR="006C6724" w:rsidRPr="002638E2">
        <w:rPr>
          <w:rFonts w:asciiTheme="minorHAnsi" w:hAnsiTheme="minorHAnsi"/>
          <w:sz w:val="22"/>
          <w:szCs w:val="22"/>
        </w:rPr>
        <w:t xml:space="preserve"> </w:t>
      </w:r>
      <w:r w:rsidRPr="002638E2">
        <w:rPr>
          <w:rFonts w:asciiTheme="minorHAnsi" w:hAnsiTheme="minorHAnsi"/>
          <w:sz w:val="22"/>
          <w:szCs w:val="22"/>
        </w:rPr>
        <w:t>c'est la pert</w:t>
      </w:r>
      <w:r w:rsidR="006C6724" w:rsidRPr="002638E2">
        <w:rPr>
          <w:rFonts w:asciiTheme="minorHAnsi" w:hAnsiTheme="minorHAnsi"/>
          <w:sz w:val="22"/>
          <w:szCs w:val="22"/>
        </w:rPr>
        <w:t xml:space="preserve">inence des politiques publiques </w:t>
      </w:r>
      <w:r w:rsidRPr="002638E2">
        <w:rPr>
          <w:rFonts w:asciiTheme="minorHAnsi" w:hAnsiTheme="minorHAnsi"/>
          <w:sz w:val="22"/>
          <w:szCs w:val="22"/>
        </w:rPr>
        <w:t xml:space="preserve">et la façon dont les administrations les mettent en </w:t>
      </w:r>
      <w:r w:rsidR="006C6724" w:rsidRPr="002638E2">
        <w:rPr>
          <w:rFonts w:asciiTheme="minorHAnsi" w:hAnsiTheme="minorHAnsi"/>
          <w:sz w:val="22"/>
          <w:szCs w:val="22"/>
        </w:rPr>
        <w:t>œuvre</w:t>
      </w:r>
      <w:r w:rsidRPr="002638E2">
        <w:rPr>
          <w:rFonts w:asciiTheme="minorHAnsi" w:hAnsiTheme="minorHAnsi"/>
          <w:sz w:val="22"/>
          <w:szCs w:val="22"/>
        </w:rPr>
        <w:t>.</w:t>
      </w:r>
    </w:p>
    <w:p w:rsidR="00DB5236" w:rsidRPr="002638E2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8E2">
        <w:rPr>
          <w:rFonts w:asciiTheme="minorHAnsi" w:hAnsiTheme="minorHAnsi"/>
          <w:sz w:val="22"/>
          <w:szCs w:val="22"/>
        </w:rPr>
        <w:t>C'est pourquoi la CNCDH recommande en premier lieu</w:t>
      </w:r>
      <w:r w:rsidR="006C6724" w:rsidRPr="002638E2">
        <w:rPr>
          <w:rFonts w:asciiTheme="minorHAnsi" w:hAnsiTheme="minorHAnsi"/>
          <w:sz w:val="22"/>
          <w:szCs w:val="22"/>
        </w:rPr>
        <w:t xml:space="preserve"> </w:t>
      </w:r>
      <w:r w:rsidRPr="002638E2">
        <w:rPr>
          <w:rFonts w:asciiTheme="minorHAnsi" w:hAnsiTheme="minorHAnsi"/>
          <w:sz w:val="22"/>
          <w:szCs w:val="22"/>
        </w:rPr>
        <w:t>de construire autrement ces politiques publiques</w:t>
      </w:r>
      <w:r w:rsidR="006C6724" w:rsidRPr="002638E2">
        <w:rPr>
          <w:rFonts w:asciiTheme="minorHAnsi" w:hAnsiTheme="minorHAnsi"/>
          <w:sz w:val="22"/>
          <w:szCs w:val="22"/>
        </w:rPr>
        <w:t xml:space="preserve"> </w:t>
      </w:r>
      <w:r w:rsidRPr="002638E2">
        <w:rPr>
          <w:rFonts w:asciiTheme="minorHAnsi" w:hAnsiTheme="minorHAnsi"/>
          <w:sz w:val="22"/>
          <w:szCs w:val="22"/>
        </w:rPr>
        <w:t>en associant les personnes concernées</w:t>
      </w:r>
      <w:r w:rsidR="006C6724" w:rsidRPr="002638E2">
        <w:rPr>
          <w:rFonts w:asciiTheme="minorHAnsi" w:hAnsiTheme="minorHAnsi"/>
          <w:sz w:val="22"/>
          <w:szCs w:val="22"/>
        </w:rPr>
        <w:t xml:space="preserve"> </w:t>
      </w:r>
      <w:r w:rsidRPr="002638E2">
        <w:rPr>
          <w:rFonts w:asciiTheme="minorHAnsi" w:hAnsiTheme="minorHAnsi"/>
          <w:sz w:val="22"/>
          <w:szCs w:val="22"/>
        </w:rPr>
        <w:t>selon une approche fondée sur les droits de l'Homme et la dignité humaine.</w:t>
      </w:r>
    </w:p>
    <w:p w:rsidR="00DB5236" w:rsidRPr="002638E2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Pr="002638E2" w:rsidRDefault="006C6724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8E2">
        <w:rPr>
          <w:rFonts w:asciiTheme="minorHAnsi" w:hAnsiTheme="minorHAnsi"/>
          <w:sz w:val="22"/>
          <w:szCs w:val="22"/>
        </w:rPr>
        <w:t xml:space="preserve">La CNCDH préconise également </w:t>
      </w:r>
      <w:r w:rsidR="00DB5236" w:rsidRPr="002638E2">
        <w:rPr>
          <w:rFonts w:asciiTheme="minorHAnsi" w:hAnsiTheme="minorHAnsi"/>
          <w:sz w:val="22"/>
          <w:szCs w:val="22"/>
        </w:rPr>
        <w:t>que les politiques publiques fassent l'objet d'une évaluation qui soit transparente</w:t>
      </w:r>
      <w:r w:rsidRPr="002638E2">
        <w:rPr>
          <w:rFonts w:asciiTheme="minorHAnsi" w:hAnsiTheme="minorHAnsi"/>
          <w:sz w:val="22"/>
          <w:szCs w:val="22"/>
        </w:rPr>
        <w:t xml:space="preserve"> </w:t>
      </w:r>
      <w:r w:rsidR="00DB5236" w:rsidRPr="002638E2">
        <w:rPr>
          <w:rFonts w:asciiTheme="minorHAnsi" w:hAnsiTheme="minorHAnsi"/>
          <w:sz w:val="22"/>
          <w:szCs w:val="22"/>
        </w:rPr>
        <w:t xml:space="preserve">et qui soit </w:t>
      </w:r>
      <w:r w:rsidR="002638E2" w:rsidRPr="002638E2">
        <w:rPr>
          <w:rFonts w:asciiTheme="minorHAnsi" w:hAnsiTheme="minorHAnsi"/>
          <w:sz w:val="22"/>
          <w:szCs w:val="22"/>
        </w:rPr>
        <w:t>également transversale</w:t>
      </w:r>
      <w:r w:rsidR="00DB5236" w:rsidRPr="002638E2">
        <w:rPr>
          <w:rFonts w:asciiTheme="minorHAnsi" w:hAnsiTheme="minorHAnsi"/>
          <w:sz w:val="22"/>
          <w:szCs w:val="22"/>
        </w:rPr>
        <w:t>.</w:t>
      </w:r>
      <w:r w:rsidR="002638E2">
        <w:rPr>
          <w:rFonts w:asciiTheme="minorHAnsi" w:hAnsiTheme="minorHAnsi"/>
          <w:sz w:val="22"/>
          <w:szCs w:val="22"/>
        </w:rPr>
        <w:t xml:space="preserve"> </w:t>
      </w:r>
      <w:r w:rsidR="00DB5236" w:rsidRPr="002638E2">
        <w:rPr>
          <w:rFonts w:asciiTheme="minorHAnsi" w:hAnsiTheme="minorHAnsi"/>
          <w:sz w:val="22"/>
          <w:szCs w:val="22"/>
        </w:rPr>
        <w:t>Ce qui est en jeu, c'est de mesurer les non-recours</w:t>
      </w:r>
      <w:r w:rsidR="002638E2" w:rsidRPr="002638E2">
        <w:rPr>
          <w:rFonts w:asciiTheme="minorHAnsi" w:hAnsiTheme="minorHAnsi"/>
          <w:sz w:val="22"/>
          <w:szCs w:val="22"/>
        </w:rPr>
        <w:t xml:space="preserve"> </w:t>
      </w:r>
      <w:r w:rsidR="00DB5236" w:rsidRPr="002638E2">
        <w:rPr>
          <w:rFonts w:asciiTheme="minorHAnsi" w:hAnsiTheme="minorHAnsi"/>
          <w:sz w:val="22"/>
          <w:szCs w:val="22"/>
        </w:rPr>
        <w:t>qui reste un phénomène encore largement méconnu.</w:t>
      </w:r>
    </w:p>
    <w:p w:rsidR="00DB5236" w:rsidRPr="002638E2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638E2" w:rsidRPr="002638E2" w:rsidRDefault="002638E2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8E2">
        <w:rPr>
          <w:rFonts w:asciiTheme="minorHAnsi" w:hAnsiTheme="minorHAnsi"/>
          <w:sz w:val="22"/>
          <w:szCs w:val="22"/>
        </w:rPr>
        <w:t>L'accès aux droits doit être rendu plus accessible</w:t>
      </w:r>
      <w:r w:rsidR="002638E2" w:rsidRPr="002638E2">
        <w:rPr>
          <w:rFonts w:asciiTheme="minorHAnsi" w:hAnsiTheme="minorHAnsi"/>
          <w:sz w:val="22"/>
          <w:szCs w:val="22"/>
        </w:rPr>
        <w:t xml:space="preserve"> </w:t>
      </w:r>
      <w:r w:rsidRPr="002638E2">
        <w:rPr>
          <w:rFonts w:asciiTheme="minorHAnsi" w:hAnsiTheme="minorHAnsi"/>
          <w:sz w:val="22"/>
          <w:szCs w:val="22"/>
        </w:rPr>
        <w:t>par l'utilisation d'un langage clair par l'administration</w:t>
      </w:r>
      <w:r w:rsidR="002638E2" w:rsidRPr="002638E2">
        <w:rPr>
          <w:rFonts w:asciiTheme="minorHAnsi" w:hAnsiTheme="minorHAnsi"/>
          <w:sz w:val="22"/>
          <w:szCs w:val="22"/>
        </w:rPr>
        <w:t xml:space="preserve"> </w:t>
      </w:r>
      <w:r w:rsidRPr="002638E2">
        <w:rPr>
          <w:rFonts w:asciiTheme="minorHAnsi" w:hAnsiTheme="minorHAnsi"/>
          <w:sz w:val="22"/>
          <w:szCs w:val="22"/>
        </w:rPr>
        <w:t>et par la simplification des démarches.</w:t>
      </w:r>
      <w:r w:rsidR="002638E2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C'est ainsi par exemple qu'aucun justificatif non prévu par les textes</w:t>
      </w:r>
      <w:r w:rsidR="002638E2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ne saurait être demandé par une administration.</w:t>
      </w:r>
    </w:p>
    <w:p w:rsidR="0076417A" w:rsidRPr="0076417A" w:rsidRDefault="0076417A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417A">
        <w:rPr>
          <w:rFonts w:asciiTheme="minorHAnsi" w:hAnsiTheme="minorHAnsi"/>
          <w:sz w:val="22"/>
          <w:szCs w:val="22"/>
        </w:rPr>
        <w:t>Les dispositifs sont souvent si complexes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 xml:space="preserve">qu'ils génèrent des erreurs à l'origine du versement de prestations non </w:t>
      </w:r>
      <w:r w:rsidR="0076417A" w:rsidRPr="0076417A">
        <w:rPr>
          <w:rFonts w:asciiTheme="minorHAnsi" w:hAnsiTheme="minorHAnsi"/>
          <w:sz w:val="22"/>
          <w:szCs w:val="22"/>
        </w:rPr>
        <w:t>dues</w:t>
      </w:r>
      <w:r w:rsidRPr="0076417A">
        <w:rPr>
          <w:rFonts w:asciiTheme="minorHAnsi" w:hAnsiTheme="minorHAnsi"/>
          <w:sz w:val="22"/>
          <w:szCs w:val="22"/>
        </w:rPr>
        <w:t>.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Ce ne sont pas des fraudes.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Mais le stress dû à l'obligation de reverser ces sommes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conduisent les personnes concernées à renoncer à leurs droits.</w:t>
      </w: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417A">
        <w:rPr>
          <w:rFonts w:asciiTheme="minorHAnsi" w:hAnsiTheme="minorHAnsi"/>
          <w:sz w:val="22"/>
          <w:szCs w:val="22"/>
        </w:rPr>
        <w:t>La CNCDH recommande de reconnaître également en matière de prestations sociales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un droit à l'erreur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et d'envisa</w:t>
      </w:r>
      <w:r w:rsidR="0076417A" w:rsidRPr="0076417A">
        <w:rPr>
          <w:rFonts w:asciiTheme="minorHAnsi" w:hAnsiTheme="minorHAnsi"/>
          <w:sz w:val="22"/>
          <w:szCs w:val="22"/>
        </w:rPr>
        <w:t xml:space="preserve">ger avec la personne concernée </w:t>
      </w:r>
      <w:r w:rsidRPr="0076417A">
        <w:rPr>
          <w:rFonts w:asciiTheme="minorHAnsi" w:hAnsiTheme="minorHAnsi"/>
          <w:sz w:val="22"/>
          <w:szCs w:val="22"/>
        </w:rPr>
        <w:t>les solutions les plus adaptées, par exemple l'adoption d'un échéancier.</w:t>
      </w: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B5236" w:rsidRPr="0076417A" w:rsidRDefault="00DB5236" w:rsidP="0076417A">
      <w:pPr>
        <w:pStyle w:val="Textebru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417A">
        <w:rPr>
          <w:rFonts w:asciiTheme="minorHAnsi" w:hAnsiTheme="minorHAnsi"/>
          <w:sz w:val="22"/>
          <w:szCs w:val="22"/>
        </w:rPr>
        <w:t>La CNCDH rappelle ses recommandations sur l'usage raisonné et raisonnable du numérique.</w:t>
      </w:r>
      <w:r w:rsidR="0076417A" w:rsidRPr="0076417A">
        <w:rPr>
          <w:rFonts w:asciiTheme="minorHAnsi" w:hAnsiTheme="minorHAnsi"/>
          <w:sz w:val="22"/>
          <w:szCs w:val="22"/>
        </w:rPr>
        <w:t xml:space="preserve"> </w:t>
      </w:r>
      <w:r w:rsidRPr="0076417A">
        <w:rPr>
          <w:rFonts w:asciiTheme="minorHAnsi" w:hAnsiTheme="minorHAnsi"/>
          <w:sz w:val="22"/>
          <w:szCs w:val="22"/>
        </w:rPr>
        <w:t>Elle préconise la construction d'outils adaptés avec les personnes concernées</w:t>
      </w:r>
      <w:r w:rsidR="0076417A" w:rsidRPr="0076417A">
        <w:rPr>
          <w:rFonts w:asciiTheme="minorHAnsi" w:hAnsiTheme="minorHAnsi"/>
          <w:sz w:val="22"/>
          <w:szCs w:val="22"/>
        </w:rPr>
        <w:t xml:space="preserve"> prenant en compte </w:t>
      </w:r>
      <w:r w:rsidRPr="0076417A">
        <w:rPr>
          <w:rFonts w:asciiTheme="minorHAnsi" w:hAnsiTheme="minorHAnsi"/>
          <w:sz w:val="22"/>
          <w:szCs w:val="22"/>
        </w:rPr>
        <w:t xml:space="preserve"> </w:t>
      </w:r>
    </w:p>
    <w:sectPr w:rsidR="00DB5236" w:rsidRPr="0076417A" w:rsidSect="005B211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sta Sans O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F"/>
    <w:rsid w:val="00136DA7"/>
    <w:rsid w:val="002638E2"/>
    <w:rsid w:val="003723A7"/>
    <w:rsid w:val="004076B6"/>
    <w:rsid w:val="00463BBD"/>
    <w:rsid w:val="00467C11"/>
    <w:rsid w:val="005A77D4"/>
    <w:rsid w:val="005E1A8D"/>
    <w:rsid w:val="0066035B"/>
    <w:rsid w:val="00671E0A"/>
    <w:rsid w:val="006C6724"/>
    <w:rsid w:val="0072238B"/>
    <w:rsid w:val="0076417A"/>
    <w:rsid w:val="00953A1A"/>
    <w:rsid w:val="00DB5236"/>
    <w:rsid w:val="00E32BE9"/>
    <w:rsid w:val="00E37DEF"/>
    <w:rsid w:val="00F70D66"/>
    <w:rsid w:val="00F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D029"/>
  <w15:chartTrackingRefBased/>
  <w15:docId w15:val="{13A89A7E-9A16-43C9-872B-484E5973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660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035B"/>
  </w:style>
  <w:style w:type="paragraph" w:styleId="Paragraphedeliste">
    <w:name w:val="List Paragraph"/>
    <w:basedOn w:val="Normal"/>
    <w:uiPriority w:val="34"/>
    <w:qFormat/>
    <w:rsid w:val="0066035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5B2110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B2110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6417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641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4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enu">
    <w:name w:val="contenu"/>
    <w:basedOn w:val="Normal"/>
    <w:uiPriority w:val="99"/>
    <w:rsid w:val="00F70E44"/>
    <w:pPr>
      <w:suppressAutoHyphens/>
      <w:autoSpaceDE w:val="0"/>
      <w:autoSpaceDN w:val="0"/>
      <w:adjustRightInd w:val="0"/>
      <w:spacing w:after="283" w:line="200" w:lineRule="atLeast"/>
      <w:ind w:firstLine="283"/>
      <w:jc w:val="both"/>
      <w:textAlignment w:val="center"/>
    </w:pPr>
    <w:rPr>
      <w:rFonts w:ascii="Vista Sans OT Light" w:hAnsi="Vista Sans OT Light" w:cs="Vista Sans OT Light"/>
      <w:color w:val="000000"/>
      <w:sz w:val="17"/>
      <w:szCs w:val="17"/>
    </w:rPr>
  </w:style>
  <w:style w:type="character" w:customStyle="1" w:styleId="Entretien-RponsepageEntretien">
    <w:name w:val="Entretien - Réponse (page Entretien)"/>
    <w:uiPriority w:val="99"/>
    <w:rsid w:val="00F70E44"/>
    <w:rPr>
      <w:rFonts w:ascii="Vista Sans OT Light" w:hAnsi="Vista Sans OT Light" w:cs="Vista Sans OT Light"/>
      <w:color w:val="000000"/>
      <w:spacing w:val="0"/>
      <w:w w:val="100"/>
      <w:position w:val="0"/>
      <w:sz w:val="17"/>
      <w:szCs w:val="17"/>
      <w:vertAlign w:val="baseli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tVAVVNAvI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Celine</dc:creator>
  <cp:keywords/>
  <dc:description/>
  <cp:lastModifiedBy>ROCHE Celine</cp:lastModifiedBy>
  <cp:revision>3</cp:revision>
  <dcterms:created xsi:type="dcterms:W3CDTF">2022-04-12T07:55:00Z</dcterms:created>
  <dcterms:modified xsi:type="dcterms:W3CDTF">2022-04-23T11:32:00Z</dcterms:modified>
</cp:coreProperties>
</file>