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4" w:tblpY="284"/>
        <w:tblOverlap w:val="never"/>
        <w:tblW w:w="9639" w:type="dxa"/>
        <w:tblLayout w:type="fixed"/>
        <w:tblCellMar>
          <w:left w:w="0" w:type="dxa"/>
          <w:right w:w="0" w:type="dxa"/>
        </w:tblCellMar>
        <w:tblLook w:val="01E0" w:firstRow="1" w:lastRow="1" w:firstColumn="1" w:lastColumn="1" w:noHBand="0" w:noVBand="0"/>
      </w:tblPr>
      <w:tblGrid>
        <w:gridCol w:w="1276"/>
        <w:gridCol w:w="2268"/>
        <w:gridCol w:w="3260"/>
        <w:gridCol w:w="2835"/>
      </w:tblGrid>
      <w:tr w:rsidR="000354E9" w:rsidRPr="00DB58B5" w14:paraId="4F63FCA3" w14:textId="77777777" w:rsidTr="008F3CA0">
        <w:trPr>
          <w:trHeight w:hRule="exact" w:val="851"/>
        </w:trPr>
        <w:tc>
          <w:tcPr>
            <w:tcW w:w="1276" w:type="dxa"/>
            <w:tcBorders>
              <w:bottom w:val="single" w:sz="4" w:space="0" w:color="auto"/>
            </w:tcBorders>
          </w:tcPr>
          <w:p w14:paraId="2F9AE59E" w14:textId="77777777" w:rsidR="000354E9" w:rsidRPr="00DB58B5" w:rsidRDefault="000354E9" w:rsidP="00A27B97"/>
        </w:tc>
        <w:tc>
          <w:tcPr>
            <w:tcW w:w="2268" w:type="dxa"/>
            <w:tcBorders>
              <w:bottom w:val="single" w:sz="4" w:space="0" w:color="auto"/>
            </w:tcBorders>
            <w:vAlign w:val="bottom"/>
          </w:tcPr>
          <w:p w14:paraId="6467AE0C" w14:textId="77777777" w:rsidR="000354E9" w:rsidRPr="00DB58B5" w:rsidRDefault="000354E9" w:rsidP="008F3CA0">
            <w:pPr>
              <w:spacing w:after="80" w:line="300" w:lineRule="exact"/>
              <w:rPr>
                <w:sz w:val="28"/>
              </w:rPr>
            </w:pPr>
            <w:r w:rsidRPr="00DB58B5">
              <w:rPr>
                <w:sz w:val="28"/>
              </w:rPr>
              <w:t>Nations Unies</w:t>
            </w:r>
          </w:p>
        </w:tc>
        <w:tc>
          <w:tcPr>
            <w:tcW w:w="6095" w:type="dxa"/>
            <w:gridSpan w:val="2"/>
            <w:tcBorders>
              <w:bottom w:val="single" w:sz="4" w:space="0" w:color="auto"/>
            </w:tcBorders>
            <w:vAlign w:val="bottom"/>
          </w:tcPr>
          <w:p w14:paraId="788CDF6B" w14:textId="5094CF0C" w:rsidR="000354E9" w:rsidRPr="00DB58B5" w:rsidRDefault="00A27B97" w:rsidP="00A27B97">
            <w:pPr>
              <w:jc w:val="right"/>
            </w:pPr>
            <w:r w:rsidRPr="00A27B97">
              <w:rPr>
                <w:sz w:val="40"/>
              </w:rPr>
              <w:t>CRC</w:t>
            </w:r>
            <w:r>
              <w:t>/C/FRA/CO/6-7</w:t>
            </w:r>
          </w:p>
        </w:tc>
      </w:tr>
      <w:tr w:rsidR="000354E9" w:rsidRPr="00DB58B5" w14:paraId="339CD166" w14:textId="77777777" w:rsidTr="008F3CA0">
        <w:trPr>
          <w:trHeight w:hRule="exact" w:val="2835"/>
        </w:trPr>
        <w:tc>
          <w:tcPr>
            <w:tcW w:w="1276" w:type="dxa"/>
            <w:tcBorders>
              <w:top w:val="single" w:sz="4" w:space="0" w:color="auto"/>
              <w:bottom w:val="single" w:sz="12" w:space="0" w:color="auto"/>
            </w:tcBorders>
          </w:tcPr>
          <w:p w14:paraId="49DFE14A" w14:textId="77777777" w:rsidR="000354E9" w:rsidRPr="00DB58B5" w:rsidRDefault="000354E9" w:rsidP="008F3CA0">
            <w:pPr>
              <w:spacing w:before="120"/>
              <w:jc w:val="center"/>
            </w:pPr>
            <w:r>
              <w:rPr>
                <w:noProof/>
                <w:lang w:eastAsia="fr-CH"/>
              </w:rPr>
              <w:drawing>
                <wp:inline distT="0" distB="0" distL="0" distR="0" wp14:anchorId="65D6A1F5" wp14:editId="761026F1">
                  <wp:extent cx="714375" cy="590550"/>
                  <wp:effectExtent l="0" t="0" r="9525" b="0"/>
                  <wp:docPr id="1" name="Image 1" descr="_u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_un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4375" cy="590550"/>
                          </a:xfrm>
                          <a:prstGeom prst="rect">
                            <a:avLst/>
                          </a:prstGeom>
                          <a:noFill/>
                          <a:ln>
                            <a:noFill/>
                          </a:ln>
                        </pic:spPr>
                      </pic:pic>
                    </a:graphicData>
                  </a:graphic>
                </wp:inline>
              </w:drawing>
            </w:r>
          </w:p>
        </w:tc>
        <w:tc>
          <w:tcPr>
            <w:tcW w:w="5528" w:type="dxa"/>
            <w:gridSpan w:val="2"/>
            <w:tcBorders>
              <w:top w:val="single" w:sz="4" w:space="0" w:color="auto"/>
              <w:bottom w:val="single" w:sz="12" w:space="0" w:color="auto"/>
            </w:tcBorders>
          </w:tcPr>
          <w:p w14:paraId="2CD2B930" w14:textId="6FFA9103" w:rsidR="000354E9" w:rsidRPr="00740562" w:rsidRDefault="000354E9" w:rsidP="008F3CA0">
            <w:pPr>
              <w:spacing w:before="120" w:line="460" w:lineRule="exact"/>
              <w:rPr>
                <w:b/>
                <w:sz w:val="40"/>
                <w:szCs w:val="40"/>
              </w:rPr>
            </w:pPr>
            <w:r w:rsidRPr="00262665">
              <w:rPr>
                <w:b/>
                <w:sz w:val="40"/>
                <w:szCs w:val="40"/>
              </w:rPr>
              <w:t>Convention relative</w:t>
            </w:r>
            <w:r w:rsidRPr="00262665">
              <w:rPr>
                <w:b/>
                <w:sz w:val="40"/>
                <w:szCs w:val="40"/>
              </w:rPr>
              <w:br/>
              <w:t>aux droits de l</w:t>
            </w:r>
            <w:r w:rsidR="00050CF5">
              <w:rPr>
                <w:b/>
                <w:sz w:val="40"/>
                <w:szCs w:val="40"/>
              </w:rPr>
              <w:t>’</w:t>
            </w:r>
            <w:r w:rsidRPr="00262665">
              <w:rPr>
                <w:b/>
                <w:sz w:val="40"/>
                <w:szCs w:val="40"/>
              </w:rPr>
              <w:t>enfant</w:t>
            </w:r>
          </w:p>
        </w:tc>
        <w:tc>
          <w:tcPr>
            <w:tcW w:w="2835" w:type="dxa"/>
            <w:tcBorders>
              <w:top w:val="single" w:sz="4" w:space="0" w:color="auto"/>
              <w:bottom w:val="single" w:sz="12" w:space="0" w:color="auto"/>
            </w:tcBorders>
          </w:tcPr>
          <w:p w14:paraId="755E7CD6" w14:textId="77777777" w:rsidR="000354E9" w:rsidRDefault="00A27B97" w:rsidP="008F3CA0">
            <w:pPr>
              <w:spacing w:before="240"/>
            </w:pPr>
            <w:proofErr w:type="spellStart"/>
            <w:r>
              <w:t>Distr</w:t>
            </w:r>
            <w:proofErr w:type="spellEnd"/>
            <w:r>
              <w:t>. générale</w:t>
            </w:r>
          </w:p>
          <w:p w14:paraId="2A74BA52" w14:textId="77777777" w:rsidR="00A27B97" w:rsidRDefault="00A27B97" w:rsidP="00A27B97">
            <w:pPr>
              <w:spacing w:line="240" w:lineRule="exact"/>
            </w:pPr>
            <w:r>
              <w:t>4 décembre 2023</w:t>
            </w:r>
          </w:p>
          <w:p w14:paraId="2C84030D" w14:textId="77777777" w:rsidR="00A27B97" w:rsidRDefault="00A27B97" w:rsidP="00A27B97">
            <w:pPr>
              <w:spacing w:line="240" w:lineRule="exact"/>
            </w:pPr>
            <w:r>
              <w:t>Français</w:t>
            </w:r>
          </w:p>
          <w:p w14:paraId="2B173018" w14:textId="4879DF0E" w:rsidR="00A27B97" w:rsidRPr="00DB58B5" w:rsidRDefault="00A27B97" w:rsidP="00A27B97">
            <w:pPr>
              <w:spacing w:line="240" w:lineRule="exact"/>
            </w:pPr>
            <w:r>
              <w:t>Original : anglais</w:t>
            </w:r>
          </w:p>
        </w:tc>
      </w:tr>
    </w:tbl>
    <w:p w14:paraId="221A173D" w14:textId="06A7857B" w:rsidR="002D14A3" w:rsidRDefault="002D14A3" w:rsidP="002D14A3">
      <w:pPr>
        <w:spacing w:before="120"/>
        <w:rPr>
          <w:b/>
          <w:sz w:val="24"/>
          <w:szCs w:val="24"/>
        </w:rPr>
      </w:pPr>
      <w:r w:rsidRPr="00DA3BE9">
        <w:rPr>
          <w:b/>
          <w:sz w:val="24"/>
          <w:szCs w:val="24"/>
        </w:rPr>
        <w:t>Comité des droits de l</w:t>
      </w:r>
      <w:r w:rsidR="00050CF5">
        <w:rPr>
          <w:b/>
          <w:sz w:val="24"/>
          <w:szCs w:val="24"/>
        </w:rPr>
        <w:t>’</w:t>
      </w:r>
      <w:r w:rsidRPr="00DA3BE9">
        <w:rPr>
          <w:b/>
          <w:sz w:val="24"/>
          <w:szCs w:val="24"/>
        </w:rPr>
        <w:t>enfant</w:t>
      </w:r>
    </w:p>
    <w:p w14:paraId="0735C13B" w14:textId="119CA2A6" w:rsidR="00BF204B" w:rsidRDefault="00050CF5" w:rsidP="00050CF5">
      <w:pPr>
        <w:pStyle w:val="HChG"/>
        <w:rPr>
          <w:b w:val="0"/>
          <w:bCs/>
          <w:sz w:val="20"/>
          <w:szCs w:val="14"/>
          <w:lang w:val="fr-FR"/>
        </w:rPr>
      </w:pPr>
      <w:r>
        <w:rPr>
          <w:lang w:val="fr-FR"/>
        </w:rPr>
        <w:tab/>
      </w:r>
      <w:r>
        <w:rPr>
          <w:lang w:val="fr-FR"/>
        </w:rPr>
        <w:tab/>
      </w:r>
      <w:r>
        <w:rPr>
          <w:lang w:val="fr-FR"/>
        </w:rPr>
        <w:t>Observations finales concernant le rapport de la France valant sixième et septième rapports périodiques</w:t>
      </w:r>
      <w:r w:rsidRPr="00050CF5">
        <w:rPr>
          <w:b w:val="0"/>
          <w:bCs/>
          <w:sz w:val="20"/>
          <w:szCs w:val="14"/>
          <w:lang w:val="fr-FR"/>
        </w:rPr>
        <w:footnoteReference w:customMarkFollows="1" w:id="2"/>
        <w:t>*</w:t>
      </w:r>
    </w:p>
    <w:p w14:paraId="237AED5B" w14:textId="692A3876" w:rsidR="00050CF5" w:rsidRPr="00050CF5" w:rsidRDefault="00050CF5" w:rsidP="00050CF5">
      <w:pPr>
        <w:pStyle w:val="HChG"/>
        <w:rPr>
          <w:sz w:val="20"/>
          <w:lang w:val="fr-FR"/>
        </w:rPr>
      </w:pPr>
      <w:r>
        <w:rPr>
          <w:lang w:val="fr-FR"/>
        </w:rPr>
        <w:tab/>
        <w:t>I.</w:t>
      </w:r>
      <w:r>
        <w:rPr>
          <w:lang w:val="fr-FR"/>
        </w:rPr>
        <w:tab/>
        <w:t>Introduction</w:t>
      </w:r>
    </w:p>
    <w:p w14:paraId="77988FBB" w14:textId="7BB640EB" w:rsidR="00050CF5" w:rsidRPr="00DC2178" w:rsidRDefault="00050CF5" w:rsidP="00050CF5">
      <w:pPr>
        <w:pStyle w:val="SingleTxtG"/>
        <w:rPr>
          <w:lang w:val="fr-FR"/>
        </w:rPr>
      </w:pPr>
      <w:r>
        <w:rPr>
          <w:lang w:val="fr-FR"/>
        </w:rPr>
        <w:t>1.</w:t>
      </w:r>
      <w:r>
        <w:rPr>
          <w:lang w:val="fr-FR"/>
        </w:rPr>
        <w:tab/>
        <w:t>Le Comité a examiné le rapport de la France valant sixième et septième rapports périodiques</w:t>
      </w:r>
      <w:r w:rsidRPr="00A02FBD">
        <w:rPr>
          <w:rStyle w:val="Appelnotedebasdep"/>
          <w:lang w:val="fr-FR"/>
        </w:rPr>
        <w:footnoteReference w:id="3"/>
      </w:r>
      <w:r>
        <w:rPr>
          <w:lang w:val="fr-FR"/>
        </w:rPr>
        <w:t xml:space="preserve"> à ses 2702</w:t>
      </w:r>
      <w:r w:rsidRPr="00050CF5">
        <w:rPr>
          <w:vertAlign w:val="superscript"/>
          <w:lang w:val="fr-FR"/>
        </w:rPr>
        <w:t>e</w:t>
      </w:r>
      <w:r>
        <w:rPr>
          <w:lang w:val="fr-FR"/>
        </w:rPr>
        <w:t xml:space="preserve"> et 2703</w:t>
      </w:r>
      <w:r w:rsidRPr="00050CF5">
        <w:rPr>
          <w:vertAlign w:val="superscript"/>
          <w:lang w:val="fr-FR"/>
        </w:rPr>
        <w:t>e</w:t>
      </w:r>
      <w:r>
        <w:rPr>
          <w:lang w:val="fr-FR"/>
        </w:rPr>
        <w:t xml:space="preserve"> séances</w:t>
      </w:r>
      <w:r w:rsidRPr="00A02FBD">
        <w:rPr>
          <w:rStyle w:val="Appelnotedebasdep"/>
          <w:lang w:val="fr-FR"/>
        </w:rPr>
        <w:footnoteReference w:id="4"/>
      </w:r>
      <w:r>
        <w:rPr>
          <w:lang w:val="fr-FR"/>
        </w:rPr>
        <w:t>, les 9 et 10</w:t>
      </w:r>
      <w:r>
        <w:rPr>
          <w:lang w:val="fr-FR"/>
        </w:rPr>
        <w:t> </w:t>
      </w:r>
      <w:r>
        <w:rPr>
          <w:lang w:val="fr-FR"/>
        </w:rPr>
        <w:t>mai 2023, et a adopté les présentes observations finales à sa 2728</w:t>
      </w:r>
      <w:r w:rsidRPr="00050CF5">
        <w:rPr>
          <w:vertAlign w:val="superscript"/>
          <w:lang w:val="fr-FR"/>
        </w:rPr>
        <w:t>e</w:t>
      </w:r>
      <w:r>
        <w:rPr>
          <w:lang w:val="fr-FR"/>
        </w:rPr>
        <w:t xml:space="preserve"> </w:t>
      </w:r>
      <w:r>
        <w:rPr>
          <w:lang w:val="fr-FR"/>
        </w:rPr>
        <w:t>séance, le 26</w:t>
      </w:r>
      <w:r>
        <w:rPr>
          <w:lang w:val="fr-FR"/>
        </w:rPr>
        <w:t> </w:t>
      </w:r>
      <w:r>
        <w:rPr>
          <w:lang w:val="fr-FR"/>
        </w:rPr>
        <w:t>mai 2023.</w:t>
      </w:r>
    </w:p>
    <w:p w14:paraId="32CEED39" w14:textId="7B529BD3" w:rsidR="00050CF5" w:rsidRPr="00DC2178" w:rsidRDefault="00050CF5" w:rsidP="00050CF5">
      <w:pPr>
        <w:pStyle w:val="SingleTxtG"/>
        <w:rPr>
          <w:lang w:val="fr-FR"/>
        </w:rPr>
      </w:pPr>
      <w:r>
        <w:rPr>
          <w:lang w:val="fr-FR"/>
        </w:rPr>
        <w:t>2.</w:t>
      </w:r>
      <w:r>
        <w:rPr>
          <w:lang w:val="fr-FR"/>
        </w:rPr>
        <w:tab/>
        <w:t>Le Comité accueille avec satisfaction le rapport de la France valant sixième et septième rapports périodiques, soumis au titre de la procédure simplifiée d</w:t>
      </w:r>
      <w:r>
        <w:rPr>
          <w:lang w:val="fr-FR"/>
        </w:rPr>
        <w:t>’</w:t>
      </w:r>
      <w:r>
        <w:rPr>
          <w:lang w:val="fr-FR"/>
        </w:rPr>
        <w:t>établissement des rapports, qui lui a permis de mieux appréhender la situation des droits de l</w:t>
      </w:r>
      <w:r>
        <w:rPr>
          <w:lang w:val="fr-FR"/>
        </w:rPr>
        <w:t>’</w:t>
      </w:r>
      <w:r>
        <w:rPr>
          <w:lang w:val="fr-FR"/>
        </w:rPr>
        <w:t>enfant dans l</w:t>
      </w:r>
      <w:r>
        <w:rPr>
          <w:lang w:val="fr-FR"/>
        </w:rPr>
        <w:t>’</w:t>
      </w:r>
      <w:r>
        <w:rPr>
          <w:lang w:val="fr-FR"/>
        </w:rPr>
        <w:t>État partie. Il se félicite du dialogue constructif qu</w:t>
      </w:r>
      <w:r>
        <w:rPr>
          <w:lang w:val="fr-FR"/>
        </w:rPr>
        <w:t>’</w:t>
      </w:r>
      <w:r>
        <w:rPr>
          <w:lang w:val="fr-FR"/>
        </w:rPr>
        <w:t>il a eu avec la délégation multisectorielle de haut niveau de l</w:t>
      </w:r>
      <w:r>
        <w:rPr>
          <w:lang w:val="fr-FR"/>
        </w:rPr>
        <w:t>’</w:t>
      </w:r>
      <w:r>
        <w:rPr>
          <w:lang w:val="fr-FR"/>
        </w:rPr>
        <w:t>État partie.</w:t>
      </w:r>
    </w:p>
    <w:p w14:paraId="476F79F3" w14:textId="160E8A77" w:rsidR="00050CF5" w:rsidRPr="00DC2178" w:rsidRDefault="00050CF5" w:rsidP="00050CF5">
      <w:pPr>
        <w:pStyle w:val="HChG"/>
        <w:rPr>
          <w:rFonts w:eastAsia="Malgun Gothic"/>
          <w:lang w:val="fr-FR"/>
        </w:rPr>
      </w:pPr>
      <w:r>
        <w:rPr>
          <w:bCs/>
          <w:lang w:val="fr-FR"/>
        </w:rPr>
        <w:tab/>
      </w:r>
      <w:r>
        <w:rPr>
          <w:bCs/>
          <w:lang w:val="fr-FR"/>
        </w:rPr>
        <w:t>II.</w:t>
      </w:r>
      <w:r>
        <w:rPr>
          <w:lang w:val="fr-FR"/>
        </w:rPr>
        <w:tab/>
      </w:r>
      <w:r>
        <w:rPr>
          <w:bCs/>
          <w:lang w:val="fr-FR"/>
        </w:rPr>
        <w:t>Mesures de suivi adoptées et progrès réalisés par l</w:t>
      </w:r>
      <w:r>
        <w:rPr>
          <w:bCs/>
          <w:lang w:val="fr-FR"/>
        </w:rPr>
        <w:t>’</w:t>
      </w:r>
      <w:r>
        <w:rPr>
          <w:bCs/>
          <w:lang w:val="fr-FR"/>
        </w:rPr>
        <w:t>État partie</w:t>
      </w:r>
    </w:p>
    <w:p w14:paraId="1AA63BBE" w14:textId="7328A4D9" w:rsidR="00050CF5" w:rsidRPr="00DC2178" w:rsidRDefault="00050CF5" w:rsidP="00050CF5">
      <w:pPr>
        <w:pStyle w:val="SingleTxtG"/>
        <w:rPr>
          <w:lang w:val="fr-FR"/>
        </w:rPr>
      </w:pPr>
      <w:r>
        <w:rPr>
          <w:lang w:val="fr-FR"/>
        </w:rPr>
        <w:t>3.</w:t>
      </w:r>
      <w:r>
        <w:rPr>
          <w:lang w:val="fr-FR"/>
        </w:rPr>
        <w:tab/>
        <w:t>Le Comité prend note avec satisfaction des progrès réalisés par l</w:t>
      </w:r>
      <w:r>
        <w:rPr>
          <w:lang w:val="fr-FR"/>
        </w:rPr>
        <w:t>’</w:t>
      </w:r>
      <w:r>
        <w:rPr>
          <w:lang w:val="fr-FR"/>
        </w:rPr>
        <w:t>État partie dans différents domaines, notamment les mesures législatives et institutionnelles et les mesures de politique générale adoptées pour appliquer la Convention et les Protocoles facultatifs s</w:t>
      </w:r>
      <w:r>
        <w:rPr>
          <w:lang w:val="fr-FR"/>
        </w:rPr>
        <w:t>’</w:t>
      </w:r>
      <w:r>
        <w:rPr>
          <w:lang w:val="fr-FR"/>
        </w:rPr>
        <w:t>y rapportant, en particulier la création du poste de Secrétaire d</w:t>
      </w:r>
      <w:r>
        <w:rPr>
          <w:lang w:val="fr-FR"/>
        </w:rPr>
        <w:t>’</w:t>
      </w:r>
      <w:r>
        <w:rPr>
          <w:lang w:val="fr-FR"/>
        </w:rPr>
        <w:t>État chargé de la protection de l</w:t>
      </w:r>
      <w:r>
        <w:rPr>
          <w:lang w:val="fr-FR"/>
        </w:rPr>
        <w:t>’</w:t>
      </w:r>
      <w:r>
        <w:rPr>
          <w:lang w:val="fr-FR"/>
        </w:rPr>
        <w:t>enfance, l</w:t>
      </w:r>
      <w:r>
        <w:rPr>
          <w:lang w:val="fr-FR"/>
        </w:rPr>
        <w:t>’</w:t>
      </w:r>
      <w:r>
        <w:rPr>
          <w:lang w:val="fr-FR"/>
        </w:rPr>
        <w:t>adoption en 2019 d</w:t>
      </w:r>
      <w:r>
        <w:rPr>
          <w:lang w:val="fr-FR"/>
        </w:rPr>
        <w:t>’</w:t>
      </w:r>
      <w:r>
        <w:rPr>
          <w:lang w:val="fr-FR"/>
        </w:rPr>
        <w:t>un nouveau Pacte pour l</w:t>
      </w:r>
      <w:r>
        <w:rPr>
          <w:lang w:val="fr-FR"/>
        </w:rPr>
        <w:t>’</w:t>
      </w:r>
      <w:r>
        <w:rPr>
          <w:lang w:val="fr-FR"/>
        </w:rPr>
        <w:t>enfance et l</w:t>
      </w:r>
      <w:r>
        <w:rPr>
          <w:lang w:val="fr-FR"/>
        </w:rPr>
        <w:t>’</w:t>
      </w:r>
      <w:r>
        <w:rPr>
          <w:lang w:val="fr-FR"/>
        </w:rPr>
        <w:t>adoption d</w:t>
      </w:r>
      <w:r>
        <w:rPr>
          <w:lang w:val="fr-FR"/>
        </w:rPr>
        <w:t>’</w:t>
      </w:r>
      <w:r>
        <w:rPr>
          <w:lang w:val="fr-FR"/>
        </w:rPr>
        <w:t>un certain nombre de stratégies et de plans d</w:t>
      </w:r>
      <w:r>
        <w:rPr>
          <w:lang w:val="fr-FR"/>
        </w:rPr>
        <w:t>’</w:t>
      </w:r>
      <w:r>
        <w:rPr>
          <w:lang w:val="fr-FR"/>
        </w:rPr>
        <w:t>action concernant les droits de l</w:t>
      </w:r>
      <w:r>
        <w:rPr>
          <w:lang w:val="fr-FR"/>
        </w:rPr>
        <w:t>’</w:t>
      </w:r>
      <w:r>
        <w:rPr>
          <w:lang w:val="fr-FR"/>
        </w:rPr>
        <w:t>enfant dans différentes sphères.</w:t>
      </w:r>
    </w:p>
    <w:p w14:paraId="764EA10A" w14:textId="46E2B9C4" w:rsidR="00050CF5" w:rsidRPr="00DC2178" w:rsidRDefault="00050CF5" w:rsidP="00050CF5">
      <w:pPr>
        <w:pStyle w:val="HChG"/>
        <w:rPr>
          <w:rFonts w:eastAsia="Malgun Gothic"/>
          <w:lang w:val="fr-FR"/>
        </w:rPr>
      </w:pPr>
      <w:r>
        <w:rPr>
          <w:bCs/>
          <w:lang w:val="fr-FR"/>
        </w:rPr>
        <w:tab/>
      </w:r>
      <w:r>
        <w:rPr>
          <w:bCs/>
          <w:lang w:val="fr-FR"/>
        </w:rPr>
        <w:t>III.</w:t>
      </w:r>
      <w:r>
        <w:rPr>
          <w:lang w:val="fr-FR"/>
        </w:rPr>
        <w:tab/>
      </w:r>
      <w:r>
        <w:rPr>
          <w:lang w:val="fr-FR"/>
        </w:rPr>
        <w:tab/>
      </w:r>
      <w:r>
        <w:rPr>
          <w:bCs/>
          <w:lang w:val="fr-FR"/>
        </w:rPr>
        <w:t>Principaux sujets de préoccupation et recommandations</w:t>
      </w:r>
    </w:p>
    <w:p w14:paraId="4185059A" w14:textId="5E868558" w:rsidR="00050CF5" w:rsidRPr="00DC2178" w:rsidRDefault="00050CF5" w:rsidP="00050CF5">
      <w:pPr>
        <w:pStyle w:val="SingleTxtG"/>
        <w:rPr>
          <w:lang w:val="fr-FR"/>
        </w:rPr>
      </w:pPr>
      <w:r>
        <w:rPr>
          <w:lang w:val="fr-FR"/>
        </w:rPr>
        <w:t>4.</w:t>
      </w:r>
      <w:r>
        <w:rPr>
          <w:lang w:val="fr-FR"/>
        </w:rPr>
        <w:tab/>
        <w:t>Le Comité rappelle à l</w:t>
      </w:r>
      <w:r>
        <w:rPr>
          <w:lang w:val="fr-FR"/>
        </w:rPr>
        <w:t>’</w:t>
      </w:r>
      <w:r>
        <w:rPr>
          <w:lang w:val="fr-FR"/>
        </w:rPr>
        <w:t>État partie que tous les droits consacrés par la Convention sont indissociables et interdépendants et souligne l</w:t>
      </w:r>
      <w:r>
        <w:rPr>
          <w:lang w:val="fr-FR"/>
        </w:rPr>
        <w:t>’</w:t>
      </w:r>
      <w:r>
        <w:rPr>
          <w:lang w:val="fr-FR"/>
        </w:rPr>
        <w:t>importance de toutes les recommandations figurant dans les présentes observations finales. Il appelle son attention sur les recommandations concernant les domaines ci-après, dans lesquels il est urgent de prendre des mesures : la maltraitance et la négligence (par.</w:t>
      </w:r>
      <w:r>
        <w:rPr>
          <w:lang w:val="fr-FR"/>
        </w:rPr>
        <w:t> </w:t>
      </w:r>
      <w:r>
        <w:rPr>
          <w:lang w:val="fr-FR"/>
        </w:rPr>
        <w:t>26) ; l</w:t>
      </w:r>
      <w:r>
        <w:rPr>
          <w:lang w:val="fr-FR"/>
        </w:rPr>
        <w:t>’</w:t>
      </w:r>
      <w:r>
        <w:rPr>
          <w:lang w:val="fr-FR"/>
        </w:rPr>
        <w:t>exploitation sexuelle et les abus sexuels (par.</w:t>
      </w:r>
      <w:r>
        <w:rPr>
          <w:lang w:val="fr-FR"/>
        </w:rPr>
        <w:t> </w:t>
      </w:r>
      <w:r>
        <w:rPr>
          <w:lang w:val="fr-FR"/>
        </w:rPr>
        <w:t>28) ; les enfants privés de milieu familial (par.</w:t>
      </w:r>
      <w:r w:rsidR="00774D1E">
        <w:rPr>
          <w:lang w:val="fr-FR"/>
        </w:rPr>
        <w:t> </w:t>
      </w:r>
      <w:r>
        <w:rPr>
          <w:lang w:val="fr-FR"/>
        </w:rPr>
        <w:t>33) ; les enfants handicapés (par.</w:t>
      </w:r>
      <w:r>
        <w:rPr>
          <w:lang w:val="fr-FR"/>
        </w:rPr>
        <w:t> </w:t>
      </w:r>
      <w:r>
        <w:rPr>
          <w:lang w:val="fr-FR"/>
        </w:rPr>
        <w:t>36) ; le niveau de vie (par.</w:t>
      </w:r>
      <w:r>
        <w:rPr>
          <w:lang w:val="fr-FR"/>
        </w:rPr>
        <w:t> </w:t>
      </w:r>
      <w:r>
        <w:rPr>
          <w:lang w:val="fr-FR"/>
        </w:rPr>
        <w:t>42) ; les enfants demandeurs d</w:t>
      </w:r>
      <w:r>
        <w:rPr>
          <w:lang w:val="fr-FR"/>
        </w:rPr>
        <w:t>’</w:t>
      </w:r>
      <w:r>
        <w:rPr>
          <w:lang w:val="fr-FR"/>
        </w:rPr>
        <w:t>asile ou migrants (par.</w:t>
      </w:r>
      <w:r>
        <w:rPr>
          <w:lang w:val="fr-FR"/>
        </w:rPr>
        <w:t> </w:t>
      </w:r>
      <w:r>
        <w:rPr>
          <w:lang w:val="fr-FR"/>
        </w:rPr>
        <w:t>45).</w:t>
      </w:r>
    </w:p>
    <w:p w14:paraId="2734C049" w14:textId="2B3CE6EA" w:rsidR="00050CF5" w:rsidRPr="00AD5D80" w:rsidRDefault="00050CF5" w:rsidP="00050CF5">
      <w:pPr>
        <w:pStyle w:val="SingleTxtG"/>
        <w:rPr>
          <w:lang w:val="fr-FR"/>
        </w:rPr>
      </w:pPr>
      <w:r>
        <w:rPr>
          <w:lang w:val="fr-FR"/>
        </w:rPr>
        <w:t>5.</w:t>
      </w:r>
      <w:r>
        <w:rPr>
          <w:lang w:val="fr-FR"/>
        </w:rPr>
        <w:tab/>
      </w:r>
      <w:r w:rsidRPr="00050CF5">
        <w:rPr>
          <w:b/>
          <w:bCs/>
          <w:lang w:val="fr-FR"/>
        </w:rPr>
        <w:t>Le Comité recommande à l</w:t>
      </w:r>
      <w:r w:rsidRPr="00050CF5">
        <w:rPr>
          <w:b/>
          <w:bCs/>
          <w:lang w:val="fr-FR"/>
        </w:rPr>
        <w:t>’</w:t>
      </w:r>
      <w:r w:rsidRPr="00050CF5">
        <w:rPr>
          <w:b/>
          <w:bCs/>
          <w:lang w:val="fr-FR"/>
        </w:rPr>
        <w:t>État partie de garantir la réalisation des droits de l</w:t>
      </w:r>
      <w:r w:rsidRPr="00050CF5">
        <w:rPr>
          <w:b/>
          <w:bCs/>
          <w:lang w:val="fr-FR"/>
        </w:rPr>
        <w:t>’</w:t>
      </w:r>
      <w:r w:rsidRPr="00050CF5">
        <w:rPr>
          <w:b/>
          <w:bCs/>
          <w:lang w:val="fr-FR"/>
        </w:rPr>
        <w:t>enfant conformément à la Convention, au Protocole facultatif concernant l</w:t>
      </w:r>
      <w:r w:rsidRPr="00050CF5">
        <w:rPr>
          <w:b/>
          <w:bCs/>
          <w:lang w:val="fr-FR"/>
        </w:rPr>
        <w:t>’</w:t>
      </w:r>
      <w:r w:rsidRPr="00050CF5">
        <w:rPr>
          <w:b/>
          <w:bCs/>
          <w:lang w:val="fr-FR"/>
        </w:rPr>
        <w:t>implication d</w:t>
      </w:r>
      <w:r w:rsidRPr="00050CF5">
        <w:rPr>
          <w:b/>
          <w:bCs/>
          <w:lang w:val="fr-FR"/>
        </w:rPr>
        <w:t>’</w:t>
      </w:r>
      <w:r w:rsidRPr="00050CF5">
        <w:rPr>
          <w:b/>
          <w:bCs/>
          <w:lang w:val="fr-FR"/>
        </w:rPr>
        <w:t>enfants dans les conflits armés et au Protocole facultatif concernant la vente d</w:t>
      </w:r>
      <w:r w:rsidRPr="00050CF5">
        <w:rPr>
          <w:b/>
          <w:bCs/>
          <w:lang w:val="fr-FR"/>
        </w:rPr>
        <w:t>’</w:t>
      </w:r>
      <w:r w:rsidRPr="00050CF5">
        <w:rPr>
          <w:b/>
          <w:bCs/>
          <w:lang w:val="fr-FR"/>
        </w:rPr>
        <w:t xml:space="preserve">enfants, la prostitution des enfants et la pornographie mettant en scène des </w:t>
      </w:r>
      <w:r w:rsidRPr="00050CF5">
        <w:rPr>
          <w:b/>
          <w:bCs/>
          <w:lang w:val="fr-FR"/>
        </w:rPr>
        <w:lastRenderedPageBreak/>
        <w:t>enfants, tout au long du processus d</w:t>
      </w:r>
      <w:r w:rsidRPr="00050CF5">
        <w:rPr>
          <w:b/>
          <w:bCs/>
          <w:lang w:val="fr-FR"/>
        </w:rPr>
        <w:t>’</w:t>
      </w:r>
      <w:r w:rsidRPr="00050CF5">
        <w:rPr>
          <w:b/>
          <w:bCs/>
          <w:lang w:val="fr-FR"/>
        </w:rPr>
        <w:t>application du Programme de développement durable à l</w:t>
      </w:r>
      <w:r w:rsidRPr="00050CF5">
        <w:rPr>
          <w:b/>
          <w:bCs/>
          <w:lang w:val="fr-FR"/>
        </w:rPr>
        <w:t>’</w:t>
      </w:r>
      <w:r w:rsidRPr="00050CF5">
        <w:rPr>
          <w:b/>
          <w:bCs/>
          <w:lang w:val="fr-FR"/>
        </w:rPr>
        <w:t>horizon 2030</w:t>
      </w:r>
      <w:r w:rsidRPr="00AD5D80">
        <w:rPr>
          <w:b/>
          <w:bCs/>
          <w:lang w:val="fr-FR"/>
        </w:rPr>
        <w:t>. Il le prie instamment de faire en sorte que les enfants participent activement à la conception et à l</w:t>
      </w:r>
      <w:r w:rsidRPr="00AD5D80">
        <w:rPr>
          <w:b/>
          <w:bCs/>
          <w:lang w:val="fr-FR"/>
        </w:rPr>
        <w:t>’</w:t>
      </w:r>
      <w:r w:rsidRPr="00AD5D80">
        <w:rPr>
          <w:b/>
          <w:bCs/>
          <w:lang w:val="fr-FR"/>
        </w:rPr>
        <w:t>application des politiques et des programmes les concernant qui visent à atteindre les 17 objectifs de développement durable.</w:t>
      </w:r>
    </w:p>
    <w:p w14:paraId="2DC1741B" w14:textId="313C9555" w:rsidR="00050CF5" w:rsidRPr="00DC2178" w:rsidRDefault="00050CF5" w:rsidP="00050CF5">
      <w:pPr>
        <w:pStyle w:val="H1G"/>
        <w:rPr>
          <w:lang w:val="fr-FR"/>
        </w:rPr>
      </w:pPr>
      <w:r w:rsidRPr="00AD5D80">
        <w:rPr>
          <w:bCs/>
          <w:lang w:val="fr-FR"/>
        </w:rPr>
        <w:tab/>
      </w:r>
      <w:r w:rsidRPr="00AD5D80">
        <w:rPr>
          <w:bCs/>
          <w:lang w:val="fr-FR"/>
        </w:rPr>
        <w:t>A.</w:t>
      </w:r>
      <w:r w:rsidRPr="00AD5D80">
        <w:rPr>
          <w:lang w:val="fr-FR"/>
        </w:rPr>
        <w:tab/>
      </w:r>
      <w:r w:rsidRPr="00AD5D80">
        <w:rPr>
          <w:bCs/>
          <w:lang w:val="fr-FR"/>
        </w:rPr>
        <w:t>Mesures d</w:t>
      </w:r>
      <w:r w:rsidRPr="00AD5D80">
        <w:rPr>
          <w:bCs/>
          <w:lang w:val="fr-FR"/>
        </w:rPr>
        <w:t>’</w:t>
      </w:r>
      <w:r w:rsidRPr="00AD5D80">
        <w:rPr>
          <w:bCs/>
          <w:lang w:val="fr-FR"/>
        </w:rPr>
        <w:t>application générales</w:t>
      </w:r>
      <w:r>
        <w:rPr>
          <w:bCs/>
          <w:lang w:val="fr-FR"/>
        </w:rPr>
        <w:t xml:space="preserve"> (art. 4, 42 et 44 (par. 6))</w:t>
      </w:r>
    </w:p>
    <w:p w14:paraId="71900380" w14:textId="77777777" w:rsidR="00050CF5" w:rsidRPr="00DC2178" w:rsidRDefault="00050CF5" w:rsidP="00050CF5">
      <w:pPr>
        <w:pStyle w:val="H23G"/>
        <w:rPr>
          <w:lang w:val="fr-FR"/>
        </w:rPr>
      </w:pPr>
      <w:r>
        <w:rPr>
          <w:lang w:val="fr-FR"/>
        </w:rPr>
        <w:tab/>
      </w:r>
      <w:r>
        <w:rPr>
          <w:lang w:val="fr-FR"/>
        </w:rPr>
        <w:tab/>
      </w:r>
      <w:r>
        <w:rPr>
          <w:lang w:val="fr-FR"/>
        </w:rPr>
        <w:tab/>
      </w:r>
      <w:r>
        <w:rPr>
          <w:bCs/>
          <w:lang w:val="fr-FR"/>
        </w:rPr>
        <w:t>Réserves</w:t>
      </w:r>
    </w:p>
    <w:p w14:paraId="3CE34195" w14:textId="2F5D7ED2" w:rsidR="00050CF5" w:rsidRPr="00DC2178" w:rsidRDefault="00050CF5" w:rsidP="00050CF5">
      <w:pPr>
        <w:pStyle w:val="SingleTxtG"/>
        <w:rPr>
          <w:b/>
          <w:bCs/>
          <w:lang w:val="fr-FR"/>
        </w:rPr>
      </w:pPr>
      <w:r>
        <w:rPr>
          <w:lang w:val="fr-FR"/>
        </w:rPr>
        <w:t>6.</w:t>
      </w:r>
      <w:r>
        <w:rPr>
          <w:lang w:val="fr-FR"/>
        </w:rPr>
        <w:tab/>
      </w:r>
      <w:r>
        <w:rPr>
          <w:b/>
          <w:bCs/>
          <w:lang w:val="fr-FR"/>
        </w:rPr>
        <w:t>Conformément à ses recommandations précédentes</w:t>
      </w:r>
      <w:r w:rsidRPr="00A02FBD">
        <w:rPr>
          <w:rStyle w:val="Appelnotedebasdep"/>
          <w:lang w:val="fr-FR"/>
        </w:rPr>
        <w:footnoteReference w:id="5"/>
      </w:r>
      <w:r>
        <w:rPr>
          <w:b/>
          <w:bCs/>
          <w:lang w:val="fr-FR"/>
        </w:rPr>
        <w:t>, le Comité engage l</w:t>
      </w:r>
      <w:r>
        <w:rPr>
          <w:b/>
          <w:bCs/>
          <w:lang w:val="fr-FR"/>
        </w:rPr>
        <w:t>’</w:t>
      </w:r>
      <w:r>
        <w:rPr>
          <w:b/>
          <w:bCs/>
          <w:lang w:val="fr-FR"/>
        </w:rPr>
        <w:t>État partie à envisager de retirer sa réserve à l</w:t>
      </w:r>
      <w:r>
        <w:rPr>
          <w:b/>
          <w:bCs/>
          <w:lang w:val="fr-FR"/>
        </w:rPr>
        <w:t>’</w:t>
      </w:r>
      <w:r>
        <w:rPr>
          <w:b/>
          <w:bCs/>
          <w:lang w:val="fr-FR"/>
        </w:rPr>
        <w:t>article 30 de la Convention et sa déclaration relative à l</w:t>
      </w:r>
      <w:r>
        <w:rPr>
          <w:b/>
          <w:bCs/>
          <w:lang w:val="fr-FR"/>
        </w:rPr>
        <w:t>’</w:t>
      </w:r>
      <w:r>
        <w:rPr>
          <w:b/>
          <w:bCs/>
          <w:lang w:val="fr-FR"/>
        </w:rPr>
        <w:t>article 40.</w:t>
      </w:r>
    </w:p>
    <w:p w14:paraId="7557C32C" w14:textId="77777777" w:rsidR="00050CF5" w:rsidRPr="00DC2178" w:rsidRDefault="00050CF5" w:rsidP="00050CF5">
      <w:pPr>
        <w:pStyle w:val="H23G"/>
        <w:rPr>
          <w:bCs/>
          <w:lang w:val="fr-FR"/>
        </w:rPr>
      </w:pPr>
      <w:r>
        <w:rPr>
          <w:lang w:val="fr-FR"/>
        </w:rPr>
        <w:tab/>
      </w:r>
      <w:r>
        <w:rPr>
          <w:lang w:val="fr-FR"/>
        </w:rPr>
        <w:tab/>
      </w:r>
      <w:r>
        <w:rPr>
          <w:bCs/>
          <w:lang w:val="fr-FR"/>
        </w:rPr>
        <w:t>Législation</w:t>
      </w:r>
    </w:p>
    <w:p w14:paraId="42E76B37" w14:textId="7BE6AB4E" w:rsidR="00050CF5" w:rsidRPr="00DC2178" w:rsidRDefault="00050CF5" w:rsidP="00050CF5">
      <w:pPr>
        <w:pStyle w:val="SingleTxtG"/>
        <w:rPr>
          <w:b/>
          <w:bCs/>
          <w:lang w:val="fr-FR"/>
        </w:rPr>
      </w:pPr>
      <w:r>
        <w:rPr>
          <w:lang w:val="fr-FR"/>
        </w:rPr>
        <w:t>7.</w:t>
      </w:r>
      <w:r>
        <w:rPr>
          <w:lang w:val="fr-FR"/>
        </w:rPr>
        <w:tab/>
      </w:r>
      <w:r>
        <w:rPr>
          <w:b/>
          <w:bCs/>
          <w:lang w:val="fr-FR"/>
        </w:rPr>
        <w:t>Accueillant avec satisfaction la décision prise par l</w:t>
      </w:r>
      <w:r>
        <w:rPr>
          <w:b/>
          <w:bCs/>
          <w:lang w:val="fr-FR"/>
        </w:rPr>
        <w:t>’</w:t>
      </w:r>
      <w:r>
        <w:rPr>
          <w:b/>
          <w:bCs/>
          <w:lang w:val="fr-FR"/>
        </w:rPr>
        <w:t>État partie d</w:t>
      </w:r>
      <w:r>
        <w:rPr>
          <w:b/>
          <w:bCs/>
          <w:lang w:val="fr-FR"/>
        </w:rPr>
        <w:t>’</w:t>
      </w:r>
      <w:r>
        <w:rPr>
          <w:b/>
          <w:bCs/>
          <w:lang w:val="fr-FR"/>
        </w:rPr>
        <w:t>évaluer l</w:t>
      </w:r>
      <w:r>
        <w:rPr>
          <w:b/>
          <w:bCs/>
          <w:lang w:val="fr-FR"/>
        </w:rPr>
        <w:t>’</w:t>
      </w:r>
      <w:r>
        <w:rPr>
          <w:b/>
          <w:bCs/>
          <w:lang w:val="fr-FR"/>
        </w:rPr>
        <w:t>impact sur les jeunes de ses projets de lois et de réglementations, ainsi que la création de la Délégation aux droits des enfants</w:t>
      </w:r>
      <w:r>
        <w:rPr>
          <w:b/>
          <w:bCs/>
          <w:lang w:val="fr-FR"/>
        </w:rPr>
        <w:t xml:space="preserve"> </w:t>
      </w:r>
      <w:r>
        <w:rPr>
          <w:b/>
          <w:bCs/>
          <w:lang w:val="fr-FR"/>
        </w:rPr>
        <w:t>de l</w:t>
      </w:r>
      <w:r>
        <w:rPr>
          <w:b/>
          <w:bCs/>
          <w:lang w:val="fr-FR"/>
        </w:rPr>
        <w:t>’</w:t>
      </w:r>
      <w:r>
        <w:rPr>
          <w:b/>
          <w:bCs/>
          <w:lang w:val="fr-FR"/>
        </w:rPr>
        <w:t>Assemblée nationale, le Comité recommande à l</w:t>
      </w:r>
      <w:r>
        <w:rPr>
          <w:b/>
          <w:bCs/>
          <w:lang w:val="fr-FR"/>
        </w:rPr>
        <w:t>’</w:t>
      </w:r>
      <w:r>
        <w:rPr>
          <w:b/>
          <w:bCs/>
          <w:lang w:val="fr-FR"/>
        </w:rPr>
        <w:t>État partie de réaliser systématiquement des études de l</w:t>
      </w:r>
      <w:r>
        <w:rPr>
          <w:b/>
          <w:bCs/>
          <w:lang w:val="fr-FR"/>
        </w:rPr>
        <w:t>’</w:t>
      </w:r>
      <w:r>
        <w:rPr>
          <w:b/>
          <w:bCs/>
          <w:lang w:val="fr-FR"/>
        </w:rPr>
        <w:t>impact de ses projets de loi sur les jeunes et de commencer à réaliser des études de l</w:t>
      </w:r>
      <w:r>
        <w:rPr>
          <w:b/>
          <w:bCs/>
          <w:lang w:val="fr-FR"/>
        </w:rPr>
        <w:t>’</w:t>
      </w:r>
      <w:r>
        <w:rPr>
          <w:b/>
          <w:bCs/>
          <w:lang w:val="fr-FR"/>
        </w:rPr>
        <w:t>impact de ses projets de loi sur les enfants.</w:t>
      </w:r>
      <w:r>
        <w:rPr>
          <w:lang w:val="fr-FR"/>
        </w:rPr>
        <w:t xml:space="preserve"> </w:t>
      </w:r>
      <w:r>
        <w:rPr>
          <w:b/>
          <w:bCs/>
          <w:lang w:val="fr-FR"/>
        </w:rPr>
        <w:t>Il lui recommande également de soutenir la proposition de loi visant à créer une délégation aux droits des enfants au Sénat.</w:t>
      </w:r>
    </w:p>
    <w:p w14:paraId="4308FD1D" w14:textId="77777777" w:rsidR="00050CF5" w:rsidRPr="00DC2178" w:rsidRDefault="00050CF5" w:rsidP="00050CF5">
      <w:pPr>
        <w:pStyle w:val="H23G"/>
        <w:rPr>
          <w:bCs/>
          <w:lang w:val="fr-FR"/>
        </w:rPr>
      </w:pPr>
      <w:r>
        <w:rPr>
          <w:lang w:val="fr-FR"/>
        </w:rPr>
        <w:tab/>
      </w:r>
      <w:r>
        <w:rPr>
          <w:lang w:val="fr-FR"/>
        </w:rPr>
        <w:tab/>
      </w:r>
      <w:r>
        <w:rPr>
          <w:bCs/>
          <w:lang w:val="fr-FR"/>
        </w:rPr>
        <w:t>Politique et stratégie globales</w:t>
      </w:r>
    </w:p>
    <w:p w14:paraId="4AE31D19" w14:textId="6110045D" w:rsidR="00050CF5" w:rsidRPr="00DC2178" w:rsidRDefault="00050CF5" w:rsidP="00050CF5">
      <w:pPr>
        <w:pStyle w:val="SingleTxtG"/>
        <w:rPr>
          <w:b/>
          <w:bCs/>
          <w:lang w:val="fr-FR"/>
        </w:rPr>
      </w:pPr>
      <w:r>
        <w:rPr>
          <w:lang w:val="fr-FR"/>
        </w:rPr>
        <w:t>8.</w:t>
      </w:r>
      <w:r>
        <w:rPr>
          <w:lang w:val="fr-FR"/>
        </w:rPr>
        <w:tab/>
      </w:r>
      <w:r>
        <w:rPr>
          <w:b/>
          <w:bCs/>
          <w:lang w:val="fr-FR"/>
        </w:rPr>
        <w:t>Le Comité note que l</w:t>
      </w:r>
      <w:r>
        <w:rPr>
          <w:b/>
          <w:bCs/>
          <w:lang w:val="fr-FR"/>
        </w:rPr>
        <w:t>’</w:t>
      </w:r>
      <w:r>
        <w:rPr>
          <w:b/>
          <w:bCs/>
          <w:lang w:val="fr-FR"/>
        </w:rPr>
        <w:t>État partie a adopté plusieurs politiques, stratégies et plans d</w:t>
      </w:r>
      <w:r>
        <w:rPr>
          <w:b/>
          <w:bCs/>
          <w:lang w:val="fr-FR"/>
        </w:rPr>
        <w:t>’</w:t>
      </w:r>
      <w:r>
        <w:rPr>
          <w:b/>
          <w:bCs/>
          <w:lang w:val="fr-FR"/>
        </w:rPr>
        <w:t>action dans différents domaines, notamment la Stratégie nationale de prévention et de protection de l</w:t>
      </w:r>
      <w:r>
        <w:rPr>
          <w:b/>
          <w:bCs/>
          <w:lang w:val="fr-FR"/>
        </w:rPr>
        <w:t>’</w:t>
      </w:r>
      <w:r>
        <w:rPr>
          <w:b/>
          <w:bCs/>
          <w:lang w:val="fr-FR"/>
        </w:rPr>
        <w:t>enfance (2020-2022), la stratégie « 1</w:t>
      </w:r>
      <w:r w:rsidR="005727BB">
        <w:rPr>
          <w:b/>
          <w:bCs/>
          <w:lang w:val="fr-FR"/>
        </w:rPr>
        <w:t> </w:t>
      </w:r>
      <w:r>
        <w:rPr>
          <w:b/>
          <w:bCs/>
          <w:lang w:val="fr-FR"/>
        </w:rPr>
        <w:t>000 premiers jours » et le Plan de lutte contre les violences faites aux enfants (2020-2022), dans le cadre du Pacte pour l</w:t>
      </w:r>
      <w:r>
        <w:rPr>
          <w:b/>
          <w:bCs/>
          <w:lang w:val="fr-FR"/>
        </w:rPr>
        <w:t>’</w:t>
      </w:r>
      <w:r>
        <w:rPr>
          <w:b/>
          <w:bCs/>
          <w:lang w:val="fr-FR"/>
        </w:rPr>
        <w:t>enfance.</w:t>
      </w:r>
      <w:r>
        <w:rPr>
          <w:lang w:val="fr-FR"/>
        </w:rPr>
        <w:t xml:space="preserve"> </w:t>
      </w:r>
      <w:r>
        <w:rPr>
          <w:b/>
          <w:bCs/>
          <w:lang w:val="fr-FR"/>
        </w:rPr>
        <w:t>À cet égard, il lui recommande :</w:t>
      </w:r>
    </w:p>
    <w:p w14:paraId="05E02094" w14:textId="26E6A17E" w:rsidR="00050CF5" w:rsidRPr="00050CF5" w:rsidRDefault="00050CF5" w:rsidP="00050CF5">
      <w:pPr>
        <w:pStyle w:val="SingleTxtG"/>
        <w:ind w:firstLine="567"/>
        <w:rPr>
          <w:b/>
          <w:bCs/>
          <w:lang w:val="fr-FR"/>
        </w:rPr>
      </w:pPr>
      <w:r w:rsidRPr="00050CF5">
        <w:rPr>
          <w:b/>
          <w:bCs/>
          <w:lang w:val="fr-FR"/>
        </w:rPr>
        <w:t>a)</w:t>
      </w:r>
      <w:r w:rsidRPr="00050CF5">
        <w:rPr>
          <w:b/>
          <w:bCs/>
          <w:lang w:val="fr-FR"/>
        </w:rPr>
        <w:tab/>
        <w:t>De procéder à une évaluation de l</w:t>
      </w:r>
      <w:r w:rsidRPr="00050CF5">
        <w:rPr>
          <w:b/>
          <w:bCs/>
          <w:lang w:val="fr-FR"/>
        </w:rPr>
        <w:t>’</w:t>
      </w:r>
      <w:r w:rsidRPr="00050CF5">
        <w:rPr>
          <w:b/>
          <w:bCs/>
          <w:lang w:val="fr-FR"/>
        </w:rPr>
        <w:t>application de ses stratégies et de ses programmes ;</w:t>
      </w:r>
    </w:p>
    <w:p w14:paraId="024E6EBD" w14:textId="330BD50B" w:rsidR="00050CF5" w:rsidRPr="00050CF5" w:rsidRDefault="00050CF5" w:rsidP="00050CF5">
      <w:pPr>
        <w:pStyle w:val="SingleTxtG"/>
        <w:ind w:firstLine="567"/>
        <w:rPr>
          <w:b/>
          <w:bCs/>
          <w:lang w:val="fr-FR"/>
        </w:rPr>
      </w:pPr>
      <w:r w:rsidRPr="00050CF5">
        <w:rPr>
          <w:b/>
          <w:bCs/>
          <w:lang w:val="fr-FR"/>
        </w:rPr>
        <w:t>b)</w:t>
      </w:r>
      <w:r w:rsidRPr="00050CF5">
        <w:rPr>
          <w:b/>
          <w:bCs/>
          <w:lang w:val="fr-FR"/>
        </w:rPr>
        <w:tab/>
        <w:t>D</w:t>
      </w:r>
      <w:r w:rsidRPr="00050CF5">
        <w:rPr>
          <w:b/>
          <w:bCs/>
          <w:lang w:val="fr-FR"/>
        </w:rPr>
        <w:t>’</w:t>
      </w:r>
      <w:r w:rsidRPr="00050CF5">
        <w:rPr>
          <w:b/>
          <w:bCs/>
          <w:lang w:val="fr-FR"/>
        </w:rPr>
        <w:t>adopter, sur la base de cette évaluation, une politique intégrée, interdisciplinaire et globale relative aux droits de l</w:t>
      </w:r>
      <w:r w:rsidRPr="00050CF5">
        <w:rPr>
          <w:b/>
          <w:bCs/>
          <w:lang w:val="fr-FR"/>
        </w:rPr>
        <w:t>’</w:t>
      </w:r>
      <w:r w:rsidRPr="00050CF5">
        <w:rPr>
          <w:b/>
          <w:bCs/>
          <w:lang w:val="fr-FR"/>
        </w:rPr>
        <w:t>enfant, qui couvre tous les domaines visés par la Convention ;</w:t>
      </w:r>
    </w:p>
    <w:p w14:paraId="15FAF924" w14:textId="1A21FECA" w:rsidR="00050CF5" w:rsidRPr="00DC2178" w:rsidRDefault="00050CF5" w:rsidP="00050CF5">
      <w:pPr>
        <w:pStyle w:val="SingleTxtG"/>
        <w:ind w:firstLine="567"/>
        <w:rPr>
          <w:b/>
          <w:bCs/>
          <w:lang w:val="fr-FR"/>
        </w:rPr>
      </w:pPr>
      <w:r w:rsidRPr="00050CF5">
        <w:rPr>
          <w:b/>
          <w:bCs/>
          <w:lang w:val="fr-FR"/>
        </w:rPr>
        <w:t>c)</w:t>
      </w:r>
      <w:r w:rsidRPr="00050CF5">
        <w:rPr>
          <w:b/>
          <w:bCs/>
          <w:lang w:val="fr-FR"/>
        </w:rPr>
        <w:tab/>
      </w:r>
      <w:r>
        <w:rPr>
          <w:b/>
          <w:bCs/>
          <w:lang w:val="fr-FR"/>
        </w:rPr>
        <w:t>D</w:t>
      </w:r>
      <w:r>
        <w:rPr>
          <w:b/>
          <w:bCs/>
          <w:lang w:val="fr-FR"/>
        </w:rPr>
        <w:t>’</w:t>
      </w:r>
      <w:r>
        <w:rPr>
          <w:b/>
          <w:bCs/>
          <w:lang w:val="fr-FR"/>
        </w:rPr>
        <w:t>élaborer une stratégie d</w:t>
      </w:r>
      <w:r>
        <w:rPr>
          <w:b/>
          <w:bCs/>
          <w:lang w:val="fr-FR"/>
        </w:rPr>
        <w:t>’</w:t>
      </w:r>
      <w:r>
        <w:rPr>
          <w:b/>
          <w:bCs/>
          <w:lang w:val="fr-FR"/>
        </w:rPr>
        <w:t>application de cette politique, et lui allouer des ressources humaines, techniques et financières suffisantes.</w:t>
      </w:r>
    </w:p>
    <w:p w14:paraId="5834A190" w14:textId="77777777" w:rsidR="00050CF5" w:rsidRPr="00DC2178" w:rsidRDefault="00050CF5" w:rsidP="00050CF5">
      <w:pPr>
        <w:pStyle w:val="H23G"/>
        <w:rPr>
          <w:rFonts w:eastAsia="Malgun Gothic"/>
          <w:bCs/>
          <w:lang w:val="fr-FR"/>
        </w:rPr>
      </w:pPr>
      <w:r>
        <w:rPr>
          <w:lang w:val="fr-FR"/>
        </w:rPr>
        <w:tab/>
      </w:r>
      <w:r>
        <w:rPr>
          <w:lang w:val="fr-FR"/>
        </w:rPr>
        <w:tab/>
      </w:r>
      <w:r>
        <w:rPr>
          <w:bCs/>
          <w:lang w:val="fr-FR"/>
        </w:rPr>
        <w:t>Coordination</w:t>
      </w:r>
    </w:p>
    <w:p w14:paraId="7626E6BA" w14:textId="63EB7BB2" w:rsidR="00050CF5" w:rsidRPr="00DC2178" w:rsidRDefault="00050CF5" w:rsidP="00050CF5">
      <w:pPr>
        <w:pStyle w:val="SingleTxtG"/>
        <w:rPr>
          <w:b/>
          <w:bCs/>
          <w:lang w:val="fr-FR"/>
        </w:rPr>
      </w:pPr>
      <w:r>
        <w:rPr>
          <w:lang w:val="fr-FR"/>
        </w:rPr>
        <w:t>9.</w:t>
      </w:r>
      <w:r>
        <w:rPr>
          <w:lang w:val="fr-FR"/>
        </w:rPr>
        <w:tab/>
      </w:r>
      <w:r>
        <w:rPr>
          <w:b/>
          <w:bCs/>
          <w:lang w:val="fr-FR"/>
        </w:rPr>
        <w:t>Le Comité accueille avec satisfaction la création du poste de Secrétaire d</w:t>
      </w:r>
      <w:r>
        <w:rPr>
          <w:b/>
          <w:bCs/>
          <w:lang w:val="fr-FR"/>
        </w:rPr>
        <w:t>’</w:t>
      </w:r>
      <w:r>
        <w:rPr>
          <w:b/>
          <w:bCs/>
          <w:lang w:val="fr-FR"/>
        </w:rPr>
        <w:t>État chargé de la protection de l</w:t>
      </w:r>
      <w:r>
        <w:rPr>
          <w:b/>
          <w:bCs/>
          <w:lang w:val="fr-FR"/>
        </w:rPr>
        <w:t>’</w:t>
      </w:r>
      <w:r>
        <w:rPr>
          <w:b/>
          <w:bCs/>
          <w:lang w:val="fr-FR"/>
        </w:rPr>
        <w:t>enfance et recommande à l</w:t>
      </w:r>
      <w:r>
        <w:rPr>
          <w:b/>
          <w:bCs/>
          <w:lang w:val="fr-FR"/>
        </w:rPr>
        <w:t>’</w:t>
      </w:r>
      <w:r>
        <w:rPr>
          <w:b/>
          <w:bCs/>
          <w:lang w:val="fr-FR"/>
        </w:rPr>
        <w:t>État partie de veiller à la coordination effective de ses activités dans le domaine des droits de l</w:t>
      </w:r>
      <w:r>
        <w:rPr>
          <w:b/>
          <w:bCs/>
          <w:lang w:val="fr-FR"/>
        </w:rPr>
        <w:t>’</w:t>
      </w:r>
      <w:r>
        <w:rPr>
          <w:b/>
          <w:bCs/>
          <w:lang w:val="fr-FR"/>
        </w:rPr>
        <w:t>enfant, en particulier dans le cadre d</w:t>
      </w:r>
      <w:r>
        <w:rPr>
          <w:b/>
          <w:bCs/>
          <w:lang w:val="fr-FR"/>
        </w:rPr>
        <w:t>’</w:t>
      </w:r>
      <w:r>
        <w:rPr>
          <w:b/>
          <w:bCs/>
          <w:lang w:val="fr-FR"/>
        </w:rPr>
        <w:t>une coordination interministérielle effective de l</w:t>
      </w:r>
      <w:r>
        <w:rPr>
          <w:b/>
          <w:bCs/>
          <w:lang w:val="fr-FR"/>
        </w:rPr>
        <w:t>’</w:t>
      </w:r>
      <w:r>
        <w:rPr>
          <w:b/>
          <w:bCs/>
          <w:lang w:val="fr-FR"/>
        </w:rPr>
        <w:t>application de ses politiques et de ses programmes en métropole et dans les territoires d</w:t>
      </w:r>
      <w:r>
        <w:rPr>
          <w:b/>
          <w:bCs/>
          <w:lang w:val="fr-FR"/>
        </w:rPr>
        <w:t>’</w:t>
      </w:r>
      <w:r>
        <w:rPr>
          <w:b/>
          <w:bCs/>
          <w:lang w:val="fr-FR"/>
        </w:rPr>
        <w:t>outre-mer, aux niveaux national et local.</w:t>
      </w:r>
    </w:p>
    <w:p w14:paraId="4D6E7078" w14:textId="77777777" w:rsidR="00050CF5" w:rsidRPr="00DC2178" w:rsidRDefault="00050CF5" w:rsidP="00050CF5">
      <w:pPr>
        <w:pStyle w:val="H23G"/>
        <w:rPr>
          <w:rFonts w:eastAsia="Malgun Gothic"/>
          <w:bCs/>
          <w:lang w:val="fr-FR"/>
        </w:rPr>
      </w:pPr>
      <w:r>
        <w:rPr>
          <w:lang w:val="fr-FR"/>
        </w:rPr>
        <w:tab/>
      </w:r>
      <w:r>
        <w:rPr>
          <w:lang w:val="fr-FR"/>
        </w:rPr>
        <w:tab/>
      </w:r>
      <w:r>
        <w:rPr>
          <w:bCs/>
          <w:lang w:val="fr-FR"/>
        </w:rPr>
        <w:t>Allocation de ressources</w:t>
      </w:r>
    </w:p>
    <w:p w14:paraId="20DD9206" w14:textId="4A58B798" w:rsidR="00050CF5" w:rsidRPr="00DC2178" w:rsidRDefault="00050CF5" w:rsidP="00050CF5">
      <w:pPr>
        <w:pStyle w:val="SingleTxtG"/>
        <w:rPr>
          <w:b/>
          <w:bCs/>
          <w:lang w:val="fr-FR"/>
        </w:rPr>
      </w:pPr>
      <w:r>
        <w:rPr>
          <w:lang w:val="fr-FR"/>
        </w:rPr>
        <w:t>10.</w:t>
      </w:r>
      <w:r>
        <w:rPr>
          <w:lang w:val="fr-FR"/>
        </w:rPr>
        <w:tab/>
      </w:r>
      <w:r>
        <w:rPr>
          <w:b/>
          <w:bCs/>
          <w:lang w:val="fr-FR"/>
        </w:rPr>
        <w:t>Prenant note des investissements publics importants réalisés dans le domaine de la protection de l</w:t>
      </w:r>
      <w:r>
        <w:rPr>
          <w:b/>
          <w:bCs/>
          <w:lang w:val="fr-FR"/>
        </w:rPr>
        <w:t>’</w:t>
      </w:r>
      <w:r>
        <w:rPr>
          <w:b/>
          <w:bCs/>
          <w:lang w:val="fr-FR"/>
        </w:rPr>
        <w:t xml:space="preserve">enfance et renvoyant à son observation générale </w:t>
      </w:r>
      <w:r w:rsidR="00D46FD4" w:rsidRPr="00D46FD4">
        <w:rPr>
          <w:rFonts w:eastAsia="MS Mincho"/>
          <w:b/>
          <w:bCs/>
          <w:szCs w:val="22"/>
          <w:lang w:val="fr-FR"/>
        </w:rPr>
        <w:t>n</w:t>
      </w:r>
      <w:r w:rsidR="00D46FD4" w:rsidRPr="00D46FD4">
        <w:rPr>
          <w:rFonts w:eastAsia="MS Mincho"/>
          <w:b/>
          <w:bCs/>
          <w:szCs w:val="22"/>
          <w:vertAlign w:val="superscript"/>
          <w:lang w:val="fr-FR"/>
        </w:rPr>
        <w:t>o</w:t>
      </w:r>
      <w:r w:rsidR="00D46FD4">
        <w:rPr>
          <w:b/>
          <w:bCs/>
          <w:lang w:val="fr-FR"/>
        </w:rPr>
        <w:t> </w:t>
      </w:r>
      <w:r>
        <w:rPr>
          <w:b/>
          <w:bCs/>
          <w:lang w:val="fr-FR"/>
        </w:rPr>
        <w:t>19 (2016) sur l</w:t>
      </w:r>
      <w:r>
        <w:rPr>
          <w:b/>
          <w:bCs/>
          <w:lang w:val="fr-FR"/>
        </w:rPr>
        <w:t>’</w:t>
      </w:r>
      <w:r>
        <w:rPr>
          <w:b/>
          <w:bCs/>
          <w:lang w:val="fr-FR"/>
        </w:rPr>
        <w:t>élaboration des budgets publics aux fins de la réalisation des droits de l</w:t>
      </w:r>
      <w:r>
        <w:rPr>
          <w:b/>
          <w:bCs/>
          <w:lang w:val="fr-FR"/>
        </w:rPr>
        <w:t>’</w:t>
      </w:r>
      <w:r>
        <w:rPr>
          <w:b/>
          <w:bCs/>
          <w:lang w:val="fr-FR"/>
        </w:rPr>
        <w:t>enfant, le Comité recommande à l</w:t>
      </w:r>
      <w:r>
        <w:rPr>
          <w:b/>
          <w:bCs/>
          <w:lang w:val="fr-FR"/>
        </w:rPr>
        <w:t>’</w:t>
      </w:r>
      <w:r>
        <w:rPr>
          <w:b/>
          <w:bCs/>
          <w:lang w:val="fr-FR"/>
        </w:rPr>
        <w:t>État partie :</w:t>
      </w:r>
    </w:p>
    <w:p w14:paraId="6F37AF44" w14:textId="7D919119" w:rsidR="00050CF5" w:rsidRPr="00DC2178" w:rsidRDefault="00050CF5" w:rsidP="00050CF5">
      <w:pPr>
        <w:pStyle w:val="SingleTxtG"/>
        <w:ind w:firstLine="567"/>
        <w:rPr>
          <w:b/>
          <w:bCs/>
          <w:lang w:val="fr-FR"/>
        </w:rPr>
      </w:pPr>
      <w:r w:rsidRPr="00D46FD4">
        <w:rPr>
          <w:b/>
          <w:bCs/>
          <w:lang w:val="fr-FR"/>
        </w:rPr>
        <w:t>a)</w:t>
      </w:r>
      <w:r>
        <w:rPr>
          <w:lang w:val="fr-FR"/>
        </w:rPr>
        <w:tab/>
      </w:r>
      <w:r>
        <w:rPr>
          <w:b/>
          <w:bCs/>
          <w:lang w:val="fr-FR"/>
        </w:rPr>
        <w:t>D</w:t>
      </w:r>
      <w:r>
        <w:rPr>
          <w:b/>
          <w:bCs/>
          <w:lang w:val="fr-FR"/>
        </w:rPr>
        <w:t>’</w:t>
      </w:r>
      <w:r>
        <w:rPr>
          <w:b/>
          <w:bCs/>
          <w:lang w:val="fr-FR"/>
        </w:rPr>
        <w:t>accroître les ressources allouées aux secteurs sociaux, notamment à la prévention, ainsi qu</w:t>
      </w:r>
      <w:r>
        <w:rPr>
          <w:b/>
          <w:bCs/>
          <w:lang w:val="fr-FR"/>
        </w:rPr>
        <w:t>’</w:t>
      </w:r>
      <w:r>
        <w:rPr>
          <w:b/>
          <w:bCs/>
          <w:lang w:val="fr-FR"/>
        </w:rPr>
        <w:t>aux enfants défavorisés, tels que les enfants roms, les enfants migrants, y compris les enfants demandeurs d</w:t>
      </w:r>
      <w:r>
        <w:rPr>
          <w:b/>
          <w:bCs/>
          <w:lang w:val="fr-FR"/>
        </w:rPr>
        <w:t>’</w:t>
      </w:r>
      <w:r>
        <w:rPr>
          <w:b/>
          <w:bCs/>
          <w:lang w:val="fr-FR"/>
        </w:rPr>
        <w:t xml:space="preserve">asile ou réfugiés, et les enfants vivant en </w:t>
      </w:r>
      <w:r>
        <w:rPr>
          <w:b/>
          <w:bCs/>
          <w:lang w:val="fr-FR"/>
        </w:rPr>
        <w:lastRenderedPageBreak/>
        <w:t>Guyane, à Mayotte et dans les autres territoires d</w:t>
      </w:r>
      <w:r>
        <w:rPr>
          <w:b/>
          <w:bCs/>
          <w:lang w:val="fr-FR"/>
        </w:rPr>
        <w:t>’</w:t>
      </w:r>
      <w:r>
        <w:rPr>
          <w:b/>
          <w:bCs/>
          <w:lang w:val="fr-FR"/>
        </w:rPr>
        <w:t>outre-mer.</w:t>
      </w:r>
      <w:r>
        <w:rPr>
          <w:lang w:val="fr-FR"/>
        </w:rPr>
        <w:t xml:space="preserve"> </w:t>
      </w:r>
      <w:r>
        <w:rPr>
          <w:b/>
          <w:bCs/>
          <w:lang w:val="fr-FR"/>
        </w:rPr>
        <w:t>À cet égard, l</w:t>
      </w:r>
      <w:r>
        <w:rPr>
          <w:b/>
          <w:bCs/>
          <w:lang w:val="fr-FR"/>
        </w:rPr>
        <w:t>’</w:t>
      </w:r>
      <w:r>
        <w:rPr>
          <w:b/>
          <w:bCs/>
          <w:lang w:val="fr-FR"/>
        </w:rPr>
        <w:t>État partie devrait envisager de créer un fonds national de péréquation des dépenses en faveur de la protection de l</w:t>
      </w:r>
      <w:r>
        <w:rPr>
          <w:b/>
          <w:bCs/>
          <w:lang w:val="fr-FR"/>
        </w:rPr>
        <w:t>’</w:t>
      </w:r>
      <w:r>
        <w:rPr>
          <w:b/>
          <w:bCs/>
          <w:lang w:val="fr-FR"/>
        </w:rPr>
        <w:t>enfance, afin d</w:t>
      </w:r>
      <w:r>
        <w:rPr>
          <w:b/>
          <w:bCs/>
          <w:lang w:val="fr-FR"/>
        </w:rPr>
        <w:t>’</w:t>
      </w:r>
      <w:r>
        <w:rPr>
          <w:b/>
          <w:bCs/>
          <w:lang w:val="fr-FR"/>
        </w:rPr>
        <w:t>aligner les ressources sur les besoins en la matière ;</w:t>
      </w:r>
    </w:p>
    <w:p w14:paraId="464BC1A8" w14:textId="37ADD493" w:rsidR="00050CF5" w:rsidRPr="00D46FD4" w:rsidRDefault="00050CF5" w:rsidP="00050CF5">
      <w:pPr>
        <w:pStyle w:val="SingleTxtG"/>
        <w:ind w:firstLine="567"/>
        <w:rPr>
          <w:b/>
          <w:bCs/>
          <w:lang w:val="fr-FR"/>
        </w:rPr>
      </w:pPr>
      <w:r w:rsidRPr="00D46FD4">
        <w:rPr>
          <w:b/>
          <w:bCs/>
          <w:lang w:val="fr-FR"/>
        </w:rPr>
        <w:t>b)</w:t>
      </w:r>
      <w:r w:rsidRPr="00D46FD4">
        <w:rPr>
          <w:b/>
          <w:bCs/>
          <w:lang w:val="fr-FR"/>
        </w:rPr>
        <w:tab/>
        <w:t>De mettre en place une procédure d</w:t>
      </w:r>
      <w:r w:rsidRPr="00D46FD4">
        <w:rPr>
          <w:b/>
          <w:bCs/>
          <w:lang w:val="fr-FR"/>
        </w:rPr>
        <w:t>’</w:t>
      </w:r>
      <w:r w:rsidRPr="00D46FD4">
        <w:rPr>
          <w:b/>
          <w:bCs/>
          <w:lang w:val="fr-FR"/>
        </w:rPr>
        <w:t>élaboration du budget qui tienne dûment compte des besoins des enfants, fasse clairement apparaître les crédits consacrés à l</w:t>
      </w:r>
      <w:r w:rsidRPr="00D46FD4">
        <w:rPr>
          <w:b/>
          <w:bCs/>
          <w:lang w:val="fr-FR"/>
        </w:rPr>
        <w:t>’</w:t>
      </w:r>
      <w:r w:rsidRPr="00D46FD4">
        <w:rPr>
          <w:b/>
          <w:bCs/>
          <w:lang w:val="fr-FR"/>
        </w:rPr>
        <w:t>enfance dans les secteurs et organismes concernés et prévoie des indicateurs précis et un système de suivi ;</w:t>
      </w:r>
    </w:p>
    <w:p w14:paraId="635130E8" w14:textId="6E2B6CBF" w:rsidR="00050CF5" w:rsidRPr="00DC2178" w:rsidRDefault="00050CF5" w:rsidP="00050CF5">
      <w:pPr>
        <w:pStyle w:val="SingleTxtG"/>
        <w:ind w:firstLine="567"/>
        <w:rPr>
          <w:b/>
          <w:bCs/>
          <w:lang w:val="fr-FR"/>
        </w:rPr>
      </w:pPr>
      <w:r w:rsidRPr="00D46FD4">
        <w:rPr>
          <w:b/>
          <w:bCs/>
          <w:lang w:val="fr-FR"/>
        </w:rPr>
        <w:t>c)</w:t>
      </w:r>
      <w:r w:rsidRPr="00D46FD4">
        <w:rPr>
          <w:b/>
          <w:bCs/>
          <w:lang w:val="fr-FR"/>
        </w:rPr>
        <w:tab/>
        <w:t>De contrôler et d</w:t>
      </w:r>
      <w:r w:rsidRPr="00D46FD4">
        <w:rPr>
          <w:b/>
          <w:bCs/>
          <w:lang w:val="fr-FR"/>
        </w:rPr>
        <w:t>’</w:t>
      </w:r>
      <w:r w:rsidRPr="00D46FD4">
        <w:rPr>
          <w:b/>
          <w:bCs/>
          <w:lang w:val="fr-FR"/>
        </w:rPr>
        <w:t>évaluer de manière effective l</w:t>
      </w:r>
      <w:r w:rsidRPr="00D46FD4">
        <w:rPr>
          <w:b/>
          <w:bCs/>
          <w:lang w:val="fr-FR"/>
        </w:rPr>
        <w:t>’</w:t>
      </w:r>
      <w:r w:rsidRPr="00D46FD4">
        <w:rPr>
          <w:b/>
          <w:bCs/>
          <w:lang w:val="fr-FR"/>
        </w:rPr>
        <w:t>efficacité, la pertinence et l</w:t>
      </w:r>
      <w:r w:rsidRPr="00D46FD4">
        <w:rPr>
          <w:b/>
          <w:bCs/>
          <w:lang w:val="fr-FR"/>
        </w:rPr>
        <w:t>’</w:t>
      </w:r>
      <w:r w:rsidRPr="00D46FD4">
        <w:rPr>
          <w:b/>
          <w:bCs/>
          <w:lang w:val="fr-FR"/>
        </w:rPr>
        <w:t>équité de la</w:t>
      </w:r>
      <w:r>
        <w:rPr>
          <w:b/>
          <w:bCs/>
          <w:lang w:val="fr-FR"/>
        </w:rPr>
        <w:t xml:space="preserve"> répartition des ressources consacrées à l</w:t>
      </w:r>
      <w:r>
        <w:rPr>
          <w:b/>
          <w:bCs/>
          <w:lang w:val="fr-FR"/>
        </w:rPr>
        <w:t>’</w:t>
      </w:r>
      <w:r>
        <w:rPr>
          <w:b/>
          <w:bCs/>
          <w:lang w:val="fr-FR"/>
        </w:rPr>
        <w:t>application de la Convention.</w:t>
      </w:r>
    </w:p>
    <w:p w14:paraId="3CCE1D2E" w14:textId="77777777" w:rsidR="00050CF5" w:rsidRPr="00DC2178" w:rsidRDefault="00050CF5" w:rsidP="00050CF5">
      <w:pPr>
        <w:pStyle w:val="H23G"/>
        <w:rPr>
          <w:bCs/>
          <w:lang w:val="fr-FR"/>
        </w:rPr>
      </w:pPr>
      <w:r>
        <w:rPr>
          <w:lang w:val="fr-FR"/>
        </w:rPr>
        <w:tab/>
      </w:r>
      <w:r>
        <w:rPr>
          <w:lang w:val="fr-FR"/>
        </w:rPr>
        <w:tab/>
      </w:r>
      <w:r>
        <w:rPr>
          <w:bCs/>
          <w:lang w:val="fr-FR"/>
        </w:rPr>
        <w:t>Collecte de données</w:t>
      </w:r>
    </w:p>
    <w:p w14:paraId="4A4252F0" w14:textId="13718E12" w:rsidR="00050CF5" w:rsidRPr="00DC2178" w:rsidRDefault="00050CF5" w:rsidP="00050CF5">
      <w:pPr>
        <w:pStyle w:val="SingleTxtG"/>
        <w:rPr>
          <w:b/>
          <w:bCs/>
          <w:lang w:val="fr-FR"/>
        </w:rPr>
      </w:pPr>
      <w:r>
        <w:rPr>
          <w:lang w:val="fr-FR"/>
        </w:rPr>
        <w:t>11.</w:t>
      </w:r>
      <w:r>
        <w:rPr>
          <w:lang w:val="fr-FR"/>
        </w:rPr>
        <w:tab/>
      </w:r>
      <w:r>
        <w:rPr>
          <w:b/>
          <w:bCs/>
          <w:lang w:val="fr-FR"/>
        </w:rPr>
        <w:t>Notant que, d</w:t>
      </w:r>
      <w:r>
        <w:rPr>
          <w:b/>
          <w:bCs/>
          <w:lang w:val="fr-FR"/>
        </w:rPr>
        <w:t>’</w:t>
      </w:r>
      <w:r>
        <w:rPr>
          <w:b/>
          <w:bCs/>
          <w:lang w:val="fr-FR"/>
        </w:rPr>
        <w:t>après les informations communiquées par l</w:t>
      </w:r>
      <w:r>
        <w:rPr>
          <w:b/>
          <w:bCs/>
          <w:lang w:val="fr-FR"/>
        </w:rPr>
        <w:t>’</w:t>
      </w:r>
      <w:r>
        <w:rPr>
          <w:b/>
          <w:bCs/>
          <w:lang w:val="fr-FR"/>
        </w:rPr>
        <w:t>État partie, l</w:t>
      </w:r>
      <w:r>
        <w:rPr>
          <w:b/>
          <w:bCs/>
          <w:lang w:val="fr-FR"/>
        </w:rPr>
        <w:t>’</w:t>
      </w:r>
      <w:r>
        <w:rPr>
          <w:b/>
          <w:bCs/>
          <w:lang w:val="fr-FR"/>
        </w:rPr>
        <w:t>Institut national de la statistique et des études économiques et les services statistiques des ministères sont les principaux producteurs de données permettant d</w:t>
      </w:r>
      <w:r>
        <w:rPr>
          <w:b/>
          <w:bCs/>
          <w:lang w:val="fr-FR"/>
        </w:rPr>
        <w:t>’</w:t>
      </w:r>
      <w:r>
        <w:rPr>
          <w:b/>
          <w:bCs/>
          <w:lang w:val="fr-FR"/>
        </w:rPr>
        <w:t>évaluer la démographie et les politiques publiques relatives à l</w:t>
      </w:r>
      <w:r>
        <w:rPr>
          <w:b/>
          <w:bCs/>
          <w:lang w:val="fr-FR"/>
        </w:rPr>
        <w:t>’</w:t>
      </w:r>
      <w:r>
        <w:rPr>
          <w:b/>
          <w:bCs/>
          <w:lang w:val="fr-FR"/>
        </w:rPr>
        <w:t>enfance, le Comité recommande à l</w:t>
      </w:r>
      <w:r>
        <w:rPr>
          <w:b/>
          <w:bCs/>
          <w:lang w:val="fr-FR"/>
        </w:rPr>
        <w:t>’</w:t>
      </w:r>
      <w:r>
        <w:rPr>
          <w:b/>
          <w:bCs/>
          <w:lang w:val="fr-FR"/>
        </w:rPr>
        <w:t>État partie :</w:t>
      </w:r>
    </w:p>
    <w:p w14:paraId="6D74AA3C" w14:textId="07DA2CAF" w:rsidR="00050CF5" w:rsidRPr="005727BB" w:rsidRDefault="00050CF5" w:rsidP="00050CF5">
      <w:pPr>
        <w:pStyle w:val="SingleTxtG"/>
        <w:ind w:firstLine="567"/>
        <w:rPr>
          <w:b/>
          <w:bCs/>
          <w:lang w:val="fr-FR"/>
        </w:rPr>
      </w:pPr>
      <w:r w:rsidRPr="005727BB">
        <w:rPr>
          <w:b/>
          <w:bCs/>
          <w:lang w:val="fr-FR"/>
        </w:rPr>
        <w:t>a)</w:t>
      </w:r>
      <w:r w:rsidRPr="005727BB">
        <w:rPr>
          <w:b/>
          <w:bCs/>
          <w:lang w:val="fr-FR"/>
        </w:rPr>
        <w:tab/>
        <w:t>De renforcer son système de collecte de données en veillant à ce que des données soient collectées dans tous les domaines visés par la Convention et les Protocoles facultatifs s</w:t>
      </w:r>
      <w:r w:rsidRPr="005727BB">
        <w:rPr>
          <w:b/>
          <w:bCs/>
          <w:lang w:val="fr-FR"/>
        </w:rPr>
        <w:t>’</w:t>
      </w:r>
      <w:r w:rsidRPr="005727BB">
        <w:rPr>
          <w:b/>
          <w:bCs/>
          <w:lang w:val="fr-FR"/>
        </w:rPr>
        <w:t>y rapportant et à ce qu</w:t>
      </w:r>
      <w:r w:rsidRPr="005727BB">
        <w:rPr>
          <w:b/>
          <w:bCs/>
          <w:lang w:val="fr-FR"/>
        </w:rPr>
        <w:t>’</w:t>
      </w:r>
      <w:r w:rsidRPr="005727BB">
        <w:rPr>
          <w:b/>
          <w:bCs/>
          <w:lang w:val="fr-FR"/>
        </w:rPr>
        <w:t xml:space="preserve">elles soient ventilées par âge, sexe, handicap, zone géographique, origine ethnique ou nationale et milieu </w:t>
      </w:r>
      <w:proofErr w:type="spellStart"/>
      <w:r w:rsidRPr="005727BB">
        <w:rPr>
          <w:b/>
          <w:bCs/>
          <w:lang w:val="fr-FR"/>
        </w:rPr>
        <w:t>socioéconomique</w:t>
      </w:r>
      <w:proofErr w:type="spellEnd"/>
      <w:r w:rsidRPr="005727BB">
        <w:rPr>
          <w:b/>
          <w:bCs/>
          <w:lang w:val="fr-FR"/>
        </w:rPr>
        <w:t>, de manière à faciliter l</w:t>
      </w:r>
      <w:r w:rsidRPr="005727BB">
        <w:rPr>
          <w:b/>
          <w:bCs/>
          <w:lang w:val="fr-FR"/>
        </w:rPr>
        <w:t>’</w:t>
      </w:r>
      <w:r w:rsidRPr="005727BB">
        <w:rPr>
          <w:b/>
          <w:bCs/>
          <w:lang w:val="fr-FR"/>
        </w:rPr>
        <w:t>analyse de la situation de tous les enfants, en particulier des enfants en situation de vulnérabilité ;</w:t>
      </w:r>
    </w:p>
    <w:p w14:paraId="2FB3B2F7" w14:textId="4E7D1CAA" w:rsidR="00050CF5" w:rsidRPr="00DC2178" w:rsidRDefault="00050CF5" w:rsidP="00050CF5">
      <w:pPr>
        <w:pStyle w:val="SingleTxtG"/>
        <w:ind w:firstLine="567"/>
        <w:rPr>
          <w:b/>
          <w:bCs/>
          <w:lang w:val="fr-FR"/>
        </w:rPr>
      </w:pPr>
      <w:r w:rsidRPr="005727BB">
        <w:rPr>
          <w:b/>
          <w:bCs/>
          <w:lang w:val="fr-FR"/>
        </w:rPr>
        <w:t>b)</w:t>
      </w:r>
      <w:r w:rsidRPr="005727BB">
        <w:rPr>
          <w:b/>
          <w:bCs/>
          <w:lang w:val="fr-FR"/>
        </w:rPr>
        <w:tab/>
      </w:r>
      <w:r>
        <w:rPr>
          <w:b/>
          <w:bCs/>
          <w:lang w:val="fr-FR"/>
        </w:rPr>
        <w:t>De veiller à ce que des données et des indicateurs soient collectés de manière systématique, communiqués aux ministères concernés et aux collectivités régionales et locales compétentes et utilisés pour élaborer, contrôler et évaluer les politiques, programmes et projets visant à assurer l</w:t>
      </w:r>
      <w:r>
        <w:rPr>
          <w:b/>
          <w:bCs/>
          <w:lang w:val="fr-FR"/>
        </w:rPr>
        <w:t>’</w:t>
      </w:r>
      <w:r>
        <w:rPr>
          <w:b/>
          <w:bCs/>
          <w:lang w:val="fr-FR"/>
        </w:rPr>
        <w:t>application effective de la Convention.</w:t>
      </w:r>
    </w:p>
    <w:p w14:paraId="1BE56841" w14:textId="77777777" w:rsidR="00050CF5" w:rsidRPr="00DC2178" w:rsidRDefault="00050CF5" w:rsidP="00050CF5">
      <w:pPr>
        <w:pStyle w:val="H23G"/>
        <w:rPr>
          <w:bCs/>
          <w:lang w:val="fr-FR"/>
        </w:rPr>
      </w:pPr>
      <w:r>
        <w:rPr>
          <w:lang w:val="fr-FR"/>
        </w:rPr>
        <w:tab/>
      </w:r>
      <w:r>
        <w:rPr>
          <w:lang w:val="fr-FR"/>
        </w:rPr>
        <w:tab/>
      </w:r>
      <w:r>
        <w:rPr>
          <w:bCs/>
          <w:lang w:val="fr-FR"/>
        </w:rPr>
        <w:t>Mécanisme de suivi indépendant</w:t>
      </w:r>
    </w:p>
    <w:p w14:paraId="4ADD33C5" w14:textId="341EF4E7" w:rsidR="00050CF5" w:rsidRPr="00DC2178" w:rsidRDefault="00050CF5" w:rsidP="00050CF5">
      <w:pPr>
        <w:pStyle w:val="SingleTxtG"/>
        <w:rPr>
          <w:b/>
          <w:bCs/>
          <w:lang w:val="fr-FR"/>
        </w:rPr>
      </w:pPr>
      <w:r>
        <w:rPr>
          <w:lang w:val="fr-FR"/>
        </w:rPr>
        <w:t>12.</w:t>
      </w:r>
      <w:r>
        <w:rPr>
          <w:lang w:val="fr-FR"/>
        </w:rPr>
        <w:tab/>
      </w:r>
      <w:r>
        <w:rPr>
          <w:b/>
          <w:bCs/>
          <w:lang w:val="fr-FR"/>
        </w:rPr>
        <w:t>Le Comité recommande à l</w:t>
      </w:r>
      <w:r>
        <w:rPr>
          <w:b/>
          <w:bCs/>
          <w:lang w:val="fr-FR"/>
        </w:rPr>
        <w:t>’</w:t>
      </w:r>
      <w:r>
        <w:rPr>
          <w:b/>
          <w:bCs/>
          <w:lang w:val="fr-FR"/>
        </w:rPr>
        <w:t>État partie de poursuivre ses efforts pour accroître les ressources humaines, techniques et financières mises à la disposition du Défenseur des droits, en particulier les ressources allouées à ses activités de protection et de promotion des droits de l</w:t>
      </w:r>
      <w:r>
        <w:rPr>
          <w:b/>
          <w:bCs/>
          <w:lang w:val="fr-FR"/>
        </w:rPr>
        <w:t>’</w:t>
      </w:r>
      <w:r>
        <w:rPr>
          <w:b/>
          <w:bCs/>
          <w:lang w:val="fr-FR"/>
        </w:rPr>
        <w:t>enfant, et pour renforcer la visibilité de ses travaux sur l</w:t>
      </w:r>
      <w:r>
        <w:rPr>
          <w:b/>
          <w:bCs/>
          <w:lang w:val="fr-FR"/>
        </w:rPr>
        <w:t>’</w:t>
      </w:r>
      <w:r>
        <w:rPr>
          <w:b/>
          <w:bCs/>
          <w:lang w:val="fr-FR"/>
        </w:rPr>
        <w:t>ensemble du territoire français.</w:t>
      </w:r>
      <w:r>
        <w:rPr>
          <w:lang w:val="fr-FR"/>
        </w:rPr>
        <w:t xml:space="preserve"> </w:t>
      </w:r>
      <w:r>
        <w:rPr>
          <w:b/>
          <w:bCs/>
          <w:lang w:val="fr-FR"/>
        </w:rPr>
        <w:t>Il lui recommande également de continuer à consulter le Défenseur des droits et la Commission nationale consultative des droits de l</w:t>
      </w:r>
      <w:r>
        <w:rPr>
          <w:b/>
          <w:bCs/>
          <w:lang w:val="fr-FR"/>
        </w:rPr>
        <w:t>’</w:t>
      </w:r>
      <w:r>
        <w:rPr>
          <w:b/>
          <w:bCs/>
          <w:lang w:val="fr-FR"/>
        </w:rPr>
        <w:t>homme dans le cadre de ses travaux relatifs à l</w:t>
      </w:r>
      <w:r>
        <w:rPr>
          <w:b/>
          <w:bCs/>
          <w:lang w:val="fr-FR"/>
        </w:rPr>
        <w:t>’</w:t>
      </w:r>
      <w:r>
        <w:rPr>
          <w:b/>
          <w:bCs/>
          <w:lang w:val="fr-FR"/>
        </w:rPr>
        <w:t>enfance et de prendre dûment en considération leur avis.</w:t>
      </w:r>
    </w:p>
    <w:p w14:paraId="2317E236" w14:textId="77777777" w:rsidR="00050CF5" w:rsidRPr="00DC2178" w:rsidRDefault="00050CF5" w:rsidP="00050CF5">
      <w:pPr>
        <w:pStyle w:val="H23G"/>
        <w:rPr>
          <w:rFonts w:eastAsia="Malgun Gothic"/>
          <w:bCs/>
          <w:lang w:val="fr-FR"/>
        </w:rPr>
      </w:pPr>
      <w:r>
        <w:rPr>
          <w:lang w:val="fr-FR"/>
        </w:rPr>
        <w:tab/>
      </w:r>
      <w:r>
        <w:rPr>
          <w:lang w:val="fr-FR"/>
        </w:rPr>
        <w:tab/>
      </w:r>
      <w:r>
        <w:rPr>
          <w:bCs/>
          <w:lang w:val="fr-FR"/>
        </w:rPr>
        <w:t>Diffusion, sensibilisation et formation</w:t>
      </w:r>
    </w:p>
    <w:p w14:paraId="664DFCB1" w14:textId="594FF57A" w:rsidR="00050CF5" w:rsidRPr="00DC2178" w:rsidRDefault="00050CF5" w:rsidP="00050CF5">
      <w:pPr>
        <w:pStyle w:val="SingleTxtG"/>
        <w:rPr>
          <w:b/>
          <w:bCs/>
          <w:lang w:val="fr-FR"/>
        </w:rPr>
      </w:pPr>
      <w:r>
        <w:rPr>
          <w:lang w:val="fr-FR"/>
        </w:rPr>
        <w:t>13.</w:t>
      </w:r>
      <w:r>
        <w:rPr>
          <w:lang w:val="fr-FR"/>
        </w:rPr>
        <w:tab/>
      </w:r>
      <w:r>
        <w:rPr>
          <w:b/>
          <w:bCs/>
          <w:lang w:val="fr-FR"/>
        </w:rPr>
        <w:t>Prenant note de la création récente du programme des jeunes ambassadeurs des droits, le Comité réitère ses recommandations précédentes</w:t>
      </w:r>
      <w:r w:rsidRPr="00A02FBD">
        <w:rPr>
          <w:rStyle w:val="Appelnotedebasdep"/>
          <w:lang w:val="fr-FR"/>
        </w:rPr>
        <w:footnoteReference w:id="6"/>
      </w:r>
      <w:r>
        <w:rPr>
          <w:b/>
          <w:bCs/>
          <w:lang w:val="fr-FR"/>
        </w:rPr>
        <w:t>.</w:t>
      </w:r>
      <w:r>
        <w:rPr>
          <w:lang w:val="fr-FR"/>
        </w:rPr>
        <w:t xml:space="preserve"> </w:t>
      </w:r>
      <w:r>
        <w:rPr>
          <w:b/>
          <w:bCs/>
          <w:lang w:val="fr-FR"/>
        </w:rPr>
        <w:t>Il recommande en outre à l</w:t>
      </w:r>
      <w:r>
        <w:rPr>
          <w:b/>
          <w:bCs/>
          <w:lang w:val="fr-FR"/>
        </w:rPr>
        <w:t>’</w:t>
      </w:r>
      <w:r>
        <w:rPr>
          <w:b/>
          <w:bCs/>
          <w:lang w:val="fr-FR"/>
        </w:rPr>
        <w:t>État partie :</w:t>
      </w:r>
    </w:p>
    <w:p w14:paraId="58E412A7" w14:textId="58C7EC97" w:rsidR="00050CF5" w:rsidRPr="00D46FD4" w:rsidRDefault="00050CF5" w:rsidP="00050CF5">
      <w:pPr>
        <w:pStyle w:val="SingleTxtG"/>
        <w:ind w:firstLine="567"/>
        <w:rPr>
          <w:b/>
          <w:bCs/>
          <w:lang w:val="fr-FR"/>
        </w:rPr>
      </w:pPr>
      <w:r w:rsidRPr="00D46FD4">
        <w:rPr>
          <w:b/>
          <w:bCs/>
          <w:lang w:val="fr-FR"/>
        </w:rPr>
        <w:t>a)</w:t>
      </w:r>
      <w:r w:rsidRPr="00D46FD4">
        <w:rPr>
          <w:b/>
          <w:bCs/>
          <w:lang w:val="fr-FR"/>
        </w:rPr>
        <w:tab/>
        <w:t>De sensibiliser le public et les enfants, en métropole et dans les territoires d</w:t>
      </w:r>
      <w:r w:rsidRPr="00D46FD4">
        <w:rPr>
          <w:b/>
          <w:bCs/>
          <w:lang w:val="fr-FR"/>
        </w:rPr>
        <w:t>’</w:t>
      </w:r>
      <w:r w:rsidRPr="00D46FD4">
        <w:rPr>
          <w:b/>
          <w:bCs/>
          <w:lang w:val="fr-FR"/>
        </w:rPr>
        <w:t>outre-mer, à la Convention et au Protocole facultatif établissant une procédure de présentation de communications, notamment aux mécanismes prévus par celui-ci ;</w:t>
      </w:r>
    </w:p>
    <w:p w14:paraId="40AC7047" w14:textId="6829A18C" w:rsidR="00050CF5" w:rsidRPr="00DC2178" w:rsidRDefault="00050CF5" w:rsidP="00050CF5">
      <w:pPr>
        <w:pStyle w:val="SingleTxtG"/>
        <w:ind w:firstLine="567"/>
        <w:rPr>
          <w:b/>
          <w:bCs/>
          <w:lang w:val="fr-FR"/>
        </w:rPr>
      </w:pPr>
      <w:r w:rsidRPr="00D46FD4">
        <w:rPr>
          <w:b/>
          <w:bCs/>
          <w:lang w:val="fr-FR"/>
        </w:rPr>
        <w:t>b)</w:t>
      </w:r>
      <w:r>
        <w:rPr>
          <w:lang w:val="fr-FR"/>
        </w:rPr>
        <w:tab/>
      </w:r>
      <w:r>
        <w:rPr>
          <w:b/>
          <w:bCs/>
          <w:lang w:val="fr-FR"/>
        </w:rPr>
        <w:t>De renforcer la formation des professionnels travaillant au contact ou au service d</w:t>
      </w:r>
      <w:r>
        <w:rPr>
          <w:b/>
          <w:bCs/>
          <w:lang w:val="fr-FR"/>
        </w:rPr>
        <w:t>’</w:t>
      </w:r>
      <w:r>
        <w:rPr>
          <w:b/>
          <w:bCs/>
          <w:lang w:val="fr-FR"/>
        </w:rPr>
        <w:t>enfants aux dispositions de la Convention et des Protocoles facultatifs s</w:t>
      </w:r>
      <w:r>
        <w:rPr>
          <w:b/>
          <w:bCs/>
          <w:lang w:val="fr-FR"/>
        </w:rPr>
        <w:t>’</w:t>
      </w:r>
      <w:r>
        <w:rPr>
          <w:b/>
          <w:bCs/>
          <w:lang w:val="fr-FR"/>
        </w:rPr>
        <w:t>y rapportant, notamment la formation de tous les professionnels de la protection de l</w:t>
      </w:r>
      <w:r>
        <w:rPr>
          <w:b/>
          <w:bCs/>
          <w:lang w:val="fr-FR"/>
        </w:rPr>
        <w:t>’</w:t>
      </w:r>
      <w:r>
        <w:rPr>
          <w:b/>
          <w:bCs/>
          <w:lang w:val="fr-FR"/>
        </w:rPr>
        <w:t>enfance en ce qui concerne la question de la traite des enfants.</w:t>
      </w:r>
    </w:p>
    <w:p w14:paraId="325C24F1" w14:textId="77777777" w:rsidR="00050CF5" w:rsidRPr="00DC2178" w:rsidRDefault="00050CF5" w:rsidP="00050CF5">
      <w:pPr>
        <w:pStyle w:val="H23G"/>
        <w:rPr>
          <w:bCs/>
          <w:lang w:val="fr-FR"/>
        </w:rPr>
      </w:pPr>
      <w:r>
        <w:rPr>
          <w:lang w:val="fr-FR"/>
        </w:rPr>
        <w:lastRenderedPageBreak/>
        <w:tab/>
      </w:r>
      <w:r>
        <w:rPr>
          <w:lang w:val="fr-FR"/>
        </w:rPr>
        <w:tab/>
      </w:r>
      <w:r>
        <w:rPr>
          <w:bCs/>
          <w:lang w:val="fr-FR"/>
        </w:rPr>
        <w:t>Coopération internationale</w:t>
      </w:r>
    </w:p>
    <w:p w14:paraId="14020087" w14:textId="02CC8140" w:rsidR="00050CF5" w:rsidRPr="00DC2178" w:rsidRDefault="00050CF5" w:rsidP="00050CF5">
      <w:pPr>
        <w:pStyle w:val="SingleTxtG"/>
        <w:rPr>
          <w:b/>
          <w:bCs/>
          <w:lang w:val="fr-FR"/>
        </w:rPr>
      </w:pPr>
      <w:r>
        <w:rPr>
          <w:lang w:val="fr-FR"/>
        </w:rPr>
        <w:t>14.</w:t>
      </w:r>
      <w:r>
        <w:rPr>
          <w:lang w:val="fr-FR"/>
        </w:rPr>
        <w:tab/>
      </w:r>
      <w:r>
        <w:rPr>
          <w:b/>
          <w:bCs/>
          <w:lang w:val="fr-FR"/>
        </w:rPr>
        <w:t>Le Comité accueille avec satisfaction l</w:t>
      </w:r>
      <w:r>
        <w:rPr>
          <w:b/>
          <w:bCs/>
          <w:lang w:val="fr-FR"/>
        </w:rPr>
        <w:t>’</w:t>
      </w:r>
      <w:r>
        <w:rPr>
          <w:b/>
          <w:bCs/>
          <w:lang w:val="fr-FR"/>
        </w:rPr>
        <w:t xml:space="preserve">adoption de la loi </w:t>
      </w:r>
      <w:r w:rsidR="00D46FD4" w:rsidRPr="00D46FD4">
        <w:rPr>
          <w:rFonts w:eastAsia="MS Mincho"/>
          <w:b/>
          <w:bCs/>
          <w:szCs w:val="22"/>
          <w:lang w:val="fr-FR"/>
        </w:rPr>
        <w:t>n</w:t>
      </w:r>
      <w:r w:rsidR="00D46FD4" w:rsidRPr="00D46FD4">
        <w:rPr>
          <w:rFonts w:eastAsia="MS Mincho"/>
          <w:b/>
          <w:bCs/>
          <w:szCs w:val="22"/>
          <w:vertAlign w:val="superscript"/>
          <w:lang w:val="fr-FR"/>
        </w:rPr>
        <w:t>o</w:t>
      </w:r>
      <w:r w:rsidR="00D46FD4">
        <w:rPr>
          <w:b/>
          <w:bCs/>
          <w:lang w:val="fr-FR"/>
        </w:rPr>
        <w:t> </w:t>
      </w:r>
      <w:r>
        <w:rPr>
          <w:b/>
          <w:bCs/>
          <w:lang w:val="fr-FR"/>
        </w:rPr>
        <w:t>2021-1031 du 4</w:t>
      </w:r>
      <w:r w:rsidR="00D46FD4">
        <w:rPr>
          <w:b/>
          <w:bCs/>
          <w:lang w:val="fr-FR"/>
        </w:rPr>
        <w:t> </w:t>
      </w:r>
      <w:r>
        <w:rPr>
          <w:b/>
          <w:bCs/>
          <w:lang w:val="fr-FR"/>
        </w:rPr>
        <w:t>août 2021 de programmation relative au développement solidaire et à la lutte contre les inégalités mondiales, qui contribue à la promotion des droits de l</w:t>
      </w:r>
      <w:r>
        <w:rPr>
          <w:b/>
          <w:bCs/>
          <w:lang w:val="fr-FR"/>
        </w:rPr>
        <w:t>’</w:t>
      </w:r>
      <w:r>
        <w:rPr>
          <w:b/>
          <w:bCs/>
          <w:lang w:val="fr-FR"/>
        </w:rPr>
        <w:t>enfant dans le cadre des activités de l</w:t>
      </w:r>
      <w:r>
        <w:rPr>
          <w:b/>
          <w:bCs/>
          <w:lang w:val="fr-FR"/>
        </w:rPr>
        <w:t>’</w:t>
      </w:r>
      <w:r>
        <w:rPr>
          <w:b/>
          <w:bCs/>
          <w:lang w:val="fr-FR"/>
        </w:rPr>
        <w:t>État partie dans d</w:t>
      </w:r>
      <w:r>
        <w:rPr>
          <w:b/>
          <w:bCs/>
          <w:lang w:val="fr-FR"/>
        </w:rPr>
        <w:t>’</w:t>
      </w:r>
      <w:r>
        <w:rPr>
          <w:b/>
          <w:bCs/>
          <w:lang w:val="fr-FR"/>
        </w:rPr>
        <w:t>autres pays, et il recommande à l</w:t>
      </w:r>
      <w:r>
        <w:rPr>
          <w:b/>
          <w:bCs/>
          <w:lang w:val="fr-FR"/>
        </w:rPr>
        <w:t>’</w:t>
      </w:r>
      <w:r>
        <w:rPr>
          <w:b/>
          <w:bCs/>
          <w:lang w:val="fr-FR"/>
        </w:rPr>
        <w:t>État partie de prendre les mesures nécessaires en vue de son application.</w:t>
      </w:r>
      <w:r>
        <w:rPr>
          <w:lang w:val="fr-FR"/>
        </w:rPr>
        <w:t xml:space="preserve"> </w:t>
      </w:r>
      <w:r>
        <w:rPr>
          <w:b/>
          <w:bCs/>
          <w:lang w:val="fr-FR"/>
        </w:rPr>
        <w:t>À cet égard, le Comité prend note de l</w:t>
      </w:r>
      <w:r>
        <w:rPr>
          <w:b/>
          <w:bCs/>
          <w:lang w:val="fr-FR"/>
        </w:rPr>
        <w:t>’</w:t>
      </w:r>
      <w:r>
        <w:rPr>
          <w:b/>
          <w:bCs/>
          <w:lang w:val="fr-FR"/>
        </w:rPr>
        <w:t>impulsion politique que l</w:t>
      </w:r>
      <w:r>
        <w:rPr>
          <w:b/>
          <w:bCs/>
          <w:lang w:val="fr-FR"/>
        </w:rPr>
        <w:t>’</w:t>
      </w:r>
      <w:r>
        <w:rPr>
          <w:b/>
          <w:bCs/>
          <w:lang w:val="fr-FR"/>
        </w:rPr>
        <w:t>État partie donne aux initiatives internationales et du soutien financier qu</w:t>
      </w:r>
      <w:r>
        <w:rPr>
          <w:b/>
          <w:bCs/>
          <w:lang w:val="fr-FR"/>
        </w:rPr>
        <w:t>’</w:t>
      </w:r>
      <w:r>
        <w:rPr>
          <w:b/>
          <w:bCs/>
          <w:lang w:val="fr-FR"/>
        </w:rPr>
        <w:t>il leur apporte, et il lui recommande :</w:t>
      </w:r>
    </w:p>
    <w:p w14:paraId="2BDAFFC1" w14:textId="23C72421" w:rsidR="00050CF5" w:rsidRPr="00D46FD4" w:rsidRDefault="00050CF5" w:rsidP="00050CF5">
      <w:pPr>
        <w:pStyle w:val="SingleTxtG"/>
        <w:ind w:firstLine="567"/>
        <w:rPr>
          <w:b/>
          <w:bCs/>
          <w:lang w:val="fr-FR"/>
        </w:rPr>
      </w:pPr>
      <w:r w:rsidRPr="00D46FD4">
        <w:rPr>
          <w:b/>
          <w:bCs/>
          <w:lang w:val="fr-FR"/>
        </w:rPr>
        <w:t>a)</w:t>
      </w:r>
      <w:r w:rsidRPr="00D46FD4">
        <w:rPr>
          <w:b/>
          <w:bCs/>
          <w:lang w:val="fr-FR"/>
        </w:rPr>
        <w:tab/>
        <w:t>De continuer à donner la priorité aux droits de l</w:t>
      </w:r>
      <w:r w:rsidRPr="00D46FD4">
        <w:rPr>
          <w:b/>
          <w:bCs/>
          <w:lang w:val="fr-FR"/>
        </w:rPr>
        <w:t>’</w:t>
      </w:r>
      <w:r w:rsidRPr="00D46FD4">
        <w:rPr>
          <w:b/>
          <w:bCs/>
          <w:lang w:val="fr-FR"/>
        </w:rPr>
        <w:t>enfant et à les faire respecter au niveau international, tant dans le cadre de son action humanitaire et de son action dans le domaine du développement que dans ses accords diplomatiques bilatéraux et multilatéraux ;</w:t>
      </w:r>
    </w:p>
    <w:p w14:paraId="0B92583F" w14:textId="35DBF5DB" w:rsidR="00050CF5" w:rsidRPr="00D46FD4" w:rsidRDefault="00050CF5" w:rsidP="00050CF5">
      <w:pPr>
        <w:pStyle w:val="SingleTxtG"/>
        <w:ind w:firstLine="567"/>
        <w:rPr>
          <w:b/>
          <w:bCs/>
          <w:lang w:val="fr-FR"/>
        </w:rPr>
      </w:pPr>
      <w:r w:rsidRPr="00D46FD4">
        <w:rPr>
          <w:b/>
          <w:bCs/>
          <w:lang w:val="fr-FR"/>
        </w:rPr>
        <w:t>b)</w:t>
      </w:r>
      <w:r w:rsidRPr="00D46FD4">
        <w:rPr>
          <w:b/>
          <w:bCs/>
          <w:lang w:val="fr-FR"/>
        </w:rPr>
        <w:tab/>
        <w:t>D</w:t>
      </w:r>
      <w:r w:rsidRPr="00D46FD4">
        <w:rPr>
          <w:b/>
          <w:bCs/>
          <w:lang w:val="fr-FR"/>
        </w:rPr>
        <w:t>’</w:t>
      </w:r>
      <w:r w:rsidRPr="00D46FD4">
        <w:rPr>
          <w:b/>
          <w:bCs/>
          <w:lang w:val="fr-FR"/>
        </w:rPr>
        <w:t>augmenter le budget qu</w:t>
      </w:r>
      <w:r w:rsidRPr="00D46FD4">
        <w:rPr>
          <w:b/>
          <w:bCs/>
          <w:lang w:val="fr-FR"/>
        </w:rPr>
        <w:t>’</w:t>
      </w:r>
      <w:r w:rsidRPr="00D46FD4">
        <w:rPr>
          <w:b/>
          <w:bCs/>
          <w:lang w:val="fr-FR"/>
        </w:rPr>
        <w:t>il consacre au développement, afin que celui-ci représente au moins 0,7 % du revenu national brut ;</w:t>
      </w:r>
    </w:p>
    <w:p w14:paraId="08502728" w14:textId="459B62B8" w:rsidR="00050CF5" w:rsidRPr="00DC2178" w:rsidRDefault="00050CF5" w:rsidP="00050CF5">
      <w:pPr>
        <w:pStyle w:val="SingleTxtG"/>
        <w:ind w:firstLine="567"/>
        <w:rPr>
          <w:b/>
          <w:bCs/>
          <w:lang w:val="fr-FR"/>
        </w:rPr>
      </w:pPr>
      <w:r w:rsidRPr="00D46FD4">
        <w:rPr>
          <w:b/>
          <w:bCs/>
          <w:lang w:val="fr-FR"/>
        </w:rPr>
        <w:t>c)</w:t>
      </w:r>
      <w:r w:rsidRPr="00D46FD4">
        <w:rPr>
          <w:b/>
          <w:bCs/>
          <w:lang w:val="fr-FR"/>
        </w:rPr>
        <w:tab/>
      </w:r>
      <w:r>
        <w:rPr>
          <w:b/>
          <w:bCs/>
          <w:lang w:val="fr-FR"/>
        </w:rPr>
        <w:t>De procéder à une évaluation de l</w:t>
      </w:r>
      <w:r>
        <w:rPr>
          <w:b/>
          <w:bCs/>
          <w:lang w:val="fr-FR"/>
        </w:rPr>
        <w:t>’</w:t>
      </w:r>
      <w:r>
        <w:rPr>
          <w:b/>
          <w:bCs/>
          <w:lang w:val="fr-FR"/>
        </w:rPr>
        <w:t>impact sur les droits de l</w:t>
      </w:r>
      <w:r>
        <w:rPr>
          <w:b/>
          <w:bCs/>
          <w:lang w:val="fr-FR"/>
        </w:rPr>
        <w:t>’</w:t>
      </w:r>
      <w:r>
        <w:rPr>
          <w:b/>
          <w:bCs/>
          <w:lang w:val="fr-FR"/>
        </w:rPr>
        <w:t>enfant de sa politique internationale en matière de développement.</w:t>
      </w:r>
    </w:p>
    <w:p w14:paraId="05FADAD7" w14:textId="725E1A18" w:rsidR="00050CF5" w:rsidRPr="00DC2178" w:rsidRDefault="00050CF5" w:rsidP="00050CF5">
      <w:pPr>
        <w:pStyle w:val="H23G"/>
        <w:rPr>
          <w:rFonts w:eastAsia="Malgun Gothic"/>
          <w:bCs/>
          <w:lang w:val="fr-FR"/>
        </w:rPr>
      </w:pPr>
      <w:r>
        <w:rPr>
          <w:lang w:val="fr-FR"/>
        </w:rPr>
        <w:tab/>
      </w:r>
      <w:r>
        <w:rPr>
          <w:lang w:val="fr-FR"/>
        </w:rPr>
        <w:tab/>
      </w:r>
      <w:r>
        <w:rPr>
          <w:bCs/>
          <w:lang w:val="fr-FR"/>
        </w:rPr>
        <w:t>Droits de l</w:t>
      </w:r>
      <w:r>
        <w:rPr>
          <w:bCs/>
          <w:lang w:val="fr-FR"/>
        </w:rPr>
        <w:t>’</w:t>
      </w:r>
      <w:r>
        <w:rPr>
          <w:bCs/>
          <w:lang w:val="fr-FR"/>
        </w:rPr>
        <w:t>enfant et entreprises</w:t>
      </w:r>
    </w:p>
    <w:p w14:paraId="03AA0B27" w14:textId="08CC4DC7" w:rsidR="00050CF5" w:rsidRPr="00DC2178" w:rsidRDefault="00050CF5" w:rsidP="00050CF5">
      <w:pPr>
        <w:pStyle w:val="SingleTxtG"/>
        <w:rPr>
          <w:b/>
          <w:bCs/>
          <w:lang w:val="fr-FR"/>
        </w:rPr>
      </w:pPr>
      <w:r>
        <w:rPr>
          <w:lang w:val="fr-FR"/>
        </w:rPr>
        <w:t>15.</w:t>
      </w:r>
      <w:r>
        <w:rPr>
          <w:lang w:val="fr-FR"/>
        </w:rPr>
        <w:tab/>
      </w:r>
      <w:r>
        <w:rPr>
          <w:b/>
          <w:bCs/>
          <w:lang w:val="fr-FR"/>
        </w:rPr>
        <w:t xml:space="preserve">Accueillant avec satisfaction la loi </w:t>
      </w:r>
      <w:r w:rsidR="00D46FD4" w:rsidRPr="00D46FD4">
        <w:rPr>
          <w:rFonts w:eastAsia="MS Mincho"/>
          <w:b/>
          <w:bCs/>
          <w:szCs w:val="22"/>
          <w:lang w:val="fr-FR"/>
        </w:rPr>
        <w:t>n</w:t>
      </w:r>
      <w:r w:rsidR="00D46FD4" w:rsidRPr="00D46FD4">
        <w:rPr>
          <w:rFonts w:eastAsia="MS Mincho"/>
          <w:b/>
          <w:bCs/>
          <w:szCs w:val="22"/>
          <w:vertAlign w:val="superscript"/>
          <w:lang w:val="fr-FR"/>
        </w:rPr>
        <w:t>o</w:t>
      </w:r>
      <w:r w:rsidR="00D46FD4">
        <w:rPr>
          <w:b/>
          <w:bCs/>
          <w:lang w:val="fr-FR"/>
        </w:rPr>
        <w:t> </w:t>
      </w:r>
      <w:r>
        <w:rPr>
          <w:b/>
          <w:bCs/>
          <w:lang w:val="fr-FR"/>
        </w:rPr>
        <w:t>2017-399 du 27</w:t>
      </w:r>
      <w:r w:rsidR="00D46FD4">
        <w:rPr>
          <w:b/>
          <w:bCs/>
          <w:lang w:val="fr-FR"/>
        </w:rPr>
        <w:t> </w:t>
      </w:r>
      <w:r>
        <w:rPr>
          <w:b/>
          <w:bCs/>
          <w:lang w:val="fr-FR"/>
        </w:rPr>
        <w:t>mars 2017 relative au devoir de vigilance des sociétés mères et des entreprises donneuses d</w:t>
      </w:r>
      <w:r>
        <w:rPr>
          <w:b/>
          <w:bCs/>
          <w:lang w:val="fr-FR"/>
        </w:rPr>
        <w:t>’</w:t>
      </w:r>
      <w:r>
        <w:rPr>
          <w:b/>
          <w:bCs/>
          <w:lang w:val="fr-FR"/>
        </w:rPr>
        <w:t>ordre et le Plan national d</w:t>
      </w:r>
      <w:r>
        <w:rPr>
          <w:b/>
          <w:bCs/>
          <w:lang w:val="fr-FR"/>
        </w:rPr>
        <w:t>’</w:t>
      </w:r>
      <w:r>
        <w:rPr>
          <w:b/>
          <w:bCs/>
          <w:lang w:val="fr-FR"/>
        </w:rPr>
        <w:t>action pour la mise en œuvre des Principes directeurs relatifs aux entreprises et aux droits de l</w:t>
      </w:r>
      <w:r>
        <w:rPr>
          <w:b/>
          <w:bCs/>
          <w:lang w:val="fr-FR"/>
        </w:rPr>
        <w:t>’</w:t>
      </w:r>
      <w:r>
        <w:rPr>
          <w:b/>
          <w:bCs/>
          <w:lang w:val="fr-FR"/>
        </w:rPr>
        <w:t>homme, adopté le 26</w:t>
      </w:r>
      <w:r w:rsidR="00D46FD4">
        <w:rPr>
          <w:b/>
          <w:bCs/>
          <w:lang w:val="fr-FR"/>
        </w:rPr>
        <w:t> </w:t>
      </w:r>
      <w:r>
        <w:rPr>
          <w:b/>
          <w:bCs/>
          <w:lang w:val="fr-FR"/>
        </w:rPr>
        <w:t xml:space="preserve">avril 2017, et renvoyant à son observation générale </w:t>
      </w:r>
      <w:r w:rsidR="00D46FD4" w:rsidRPr="00D46FD4">
        <w:rPr>
          <w:rFonts w:eastAsia="MS Mincho"/>
          <w:b/>
          <w:bCs/>
          <w:szCs w:val="22"/>
          <w:lang w:val="fr-FR"/>
        </w:rPr>
        <w:t>n</w:t>
      </w:r>
      <w:r w:rsidR="00D46FD4" w:rsidRPr="00D46FD4">
        <w:rPr>
          <w:rFonts w:eastAsia="MS Mincho"/>
          <w:b/>
          <w:bCs/>
          <w:szCs w:val="22"/>
          <w:vertAlign w:val="superscript"/>
          <w:lang w:val="fr-FR"/>
        </w:rPr>
        <w:t>o</w:t>
      </w:r>
      <w:r w:rsidR="00D46FD4">
        <w:rPr>
          <w:b/>
          <w:bCs/>
          <w:lang w:val="fr-FR"/>
        </w:rPr>
        <w:t> </w:t>
      </w:r>
      <w:r>
        <w:rPr>
          <w:b/>
          <w:bCs/>
          <w:lang w:val="fr-FR"/>
        </w:rPr>
        <w:t>16 (2013) sur les obligations des États concernant les incidences du secteur des entreprises sur les droits de l</w:t>
      </w:r>
      <w:r>
        <w:rPr>
          <w:b/>
          <w:bCs/>
          <w:lang w:val="fr-FR"/>
        </w:rPr>
        <w:t>’</w:t>
      </w:r>
      <w:r>
        <w:rPr>
          <w:b/>
          <w:bCs/>
          <w:lang w:val="fr-FR"/>
        </w:rPr>
        <w:t>enfant, le Comité recommande à l</w:t>
      </w:r>
      <w:r>
        <w:rPr>
          <w:b/>
          <w:bCs/>
          <w:lang w:val="fr-FR"/>
        </w:rPr>
        <w:t>’</w:t>
      </w:r>
      <w:r>
        <w:rPr>
          <w:b/>
          <w:bCs/>
          <w:lang w:val="fr-FR"/>
        </w:rPr>
        <w:t>État partie de renforcer les mesures visant à appliquer la loi et le Plan national d</w:t>
      </w:r>
      <w:r>
        <w:rPr>
          <w:b/>
          <w:bCs/>
          <w:lang w:val="fr-FR"/>
        </w:rPr>
        <w:t>’</w:t>
      </w:r>
      <w:r>
        <w:rPr>
          <w:b/>
          <w:bCs/>
          <w:lang w:val="fr-FR"/>
        </w:rPr>
        <w:t>action et de veiller à ce que les entreprises qui exercent leurs activités dans l</w:t>
      </w:r>
      <w:r>
        <w:rPr>
          <w:b/>
          <w:bCs/>
          <w:lang w:val="fr-FR"/>
        </w:rPr>
        <w:t>’</w:t>
      </w:r>
      <w:r>
        <w:rPr>
          <w:b/>
          <w:bCs/>
          <w:lang w:val="fr-FR"/>
        </w:rPr>
        <w:t>État partie ou depuis son territoire respectent les normes internationales et nationales relatives aux droits de l</w:t>
      </w:r>
      <w:r>
        <w:rPr>
          <w:b/>
          <w:bCs/>
          <w:lang w:val="fr-FR"/>
        </w:rPr>
        <w:t>’</w:t>
      </w:r>
      <w:r>
        <w:rPr>
          <w:b/>
          <w:bCs/>
          <w:lang w:val="fr-FR"/>
        </w:rPr>
        <w:t>homme, au travail et à l</w:t>
      </w:r>
      <w:r>
        <w:rPr>
          <w:b/>
          <w:bCs/>
          <w:lang w:val="fr-FR"/>
        </w:rPr>
        <w:t>’</w:t>
      </w:r>
      <w:r>
        <w:rPr>
          <w:b/>
          <w:bCs/>
          <w:lang w:val="fr-FR"/>
        </w:rPr>
        <w:t>environnement et d</w:t>
      </w:r>
      <w:r>
        <w:rPr>
          <w:b/>
          <w:bCs/>
          <w:lang w:val="fr-FR"/>
        </w:rPr>
        <w:t>’</w:t>
      </w:r>
      <w:r>
        <w:rPr>
          <w:b/>
          <w:bCs/>
          <w:lang w:val="fr-FR"/>
        </w:rPr>
        <w:t>autres normes, notamment en ce qui concerne les droits de l</w:t>
      </w:r>
      <w:r>
        <w:rPr>
          <w:b/>
          <w:bCs/>
          <w:lang w:val="fr-FR"/>
        </w:rPr>
        <w:t>’</w:t>
      </w:r>
      <w:r>
        <w:rPr>
          <w:b/>
          <w:bCs/>
          <w:lang w:val="fr-FR"/>
        </w:rPr>
        <w:t>enfant.</w:t>
      </w:r>
    </w:p>
    <w:p w14:paraId="2D7A8E9E" w14:textId="7E033DA0" w:rsidR="00050CF5" w:rsidRPr="00DC2178" w:rsidRDefault="00D46FD4" w:rsidP="00050CF5">
      <w:pPr>
        <w:pStyle w:val="H1G"/>
        <w:rPr>
          <w:bCs/>
          <w:lang w:val="fr-FR"/>
        </w:rPr>
      </w:pPr>
      <w:r>
        <w:rPr>
          <w:bCs/>
          <w:lang w:val="fr-FR"/>
        </w:rPr>
        <w:tab/>
      </w:r>
      <w:r w:rsidR="00050CF5">
        <w:rPr>
          <w:bCs/>
          <w:lang w:val="fr-FR"/>
        </w:rPr>
        <w:t>B.</w:t>
      </w:r>
      <w:r w:rsidR="00050CF5">
        <w:rPr>
          <w:lang w:val="fr-FR"/>
        </w:rPr>
        <w:tab/>
      </w:r>
      <w:r w:rsidR="00050CF5">
        <w:rPr>
          <w:bCs/>
          <w:lang w:val="fr-FR"/>
        </w:rPr>
        <w:t>Principes généraux (art. 2, 3, 6 et 12)</w:t>
      </w:r>
    </w:p>
    <w:p w14:paraId="51BE06C2" w14:textId="77777777" w:rsidR="00050CF5" w:rsidRPr="00DC2178" w:rsidRDefault="00050CF5" w:rsidP="00050CF5">
      <w:pPr>
        <w:pStyle w:val="H23G"/>
        <w:rPr>
          <w:bCs/>
          <w:lang w:val="fr-FR"/>
        </w:rPr>
      </w:pPr>
      <w:r>
        <w:rPr>
          <w:lang w:val="fr-FR"/>
        </w:rPr>
        <w:tab/>
      </w:r>
      <w:r>
        <w:rPr>
          <w:lang w:val="fr-FR"/>
        </w:rPr>
        <w:tab/>
      </w:r>
      <w:r>
        <w:rPr>
          <w:bCs/>
          <w:lang w:val="fr-FR"/>
        </w:rPr>
        <w:t>Non-discrimination</w:t>
      </w:r>
    </w:p>
    <w:p w14:paraId="021625A2" w14:textId="78124EF4" w:rsidR="00050CF5" w:rsidRPr="00DC2178" w:rsidRDefault="00050CF5" w:rsidP="00050CF5">
      <w:pPr>
        <w:pStyle w:val="SingleTxtG"/>
        <w:rPr>
          <w:b/>
          <w:bCs/>
          <w:lang w:val="fr-FR"/>
        </w:rPr>
      </w:pPr>
      <w:r>
        <w:rPr>
          <w:lang w:val="fr-FR"/>
        </w:rPr>
        <w:t>16.</w:t>
      </w:r>
      <w:r>
        <w:rPr>
          <w:lang w:val="fr-FR"/>
        </w:rPr>
        <w:tab/>
      </w:r>
      <w:r>
        <w:rPr>
          <w:b/>
          <w:bCs/>
          <w:lang w:val="fr-FR"/>
        </w:rPr>
        <w:t>Le Comité rappelle ses recommandations précédentes</w:t>
      </w:r>
      <w:r w:rsidRPr="00A02FBD">
        <w:rPr>
          <w:rStyle w:val="Appelnotedebasdep"/>
          <w:lang w:val="fr-FR"/>
        </w:rPr>
        <w:footnoteReference w:id="7"/>
      </w:r>
      <w:r>
        <w:rPr>
          <w:lang w:val="fr-FR"/>
        </w:rPr>
        <w:t xml:space="preserve"> </w:t>
      </w:r>
      <w:r>
        <w:rPr>
          <w:b/>
          <w:bCs/>
          <w:lang w:val="fr-FR"/>
        </w:rPr>
        <w:t>et demande instamment à l</w:t>
      </w:r>
      <w:r>
        <w:rPr>
          <w:b/>
          <w:bCs/>
          <w:lang w:val="fr-FR"/>
        </w:rPr>
        <w:t>’</w:t>
      </w:r>
      <w:r>
        <w:rPr>
          <w:b/>
          <w:bCs/>
          <w:lang w:val="fr-FR"/>
        </w:rPr>
        <w:t>État partie de redoubler d</w:t>
      </w:r>
      <w:r>
        <w:rPr>
          <w:b/>
          <w:bCs/>
          <w:lang w:val="fr-FR"/>
        </w:rPr>
        <w:t>’</w:t>
      </w:r>
      <w:r>
        <w:rPr>
          <w:b/>
          <w:bCs/>
          <w:lang w:val="fr-FR"/>
        </w:rPr>
        <w:t>efforts pour promouvoir une culture d</w:t>
      </w:r>
      <w:r>
        <w:rPr>
          <w:b/>
          <w:bCs/>
          <w:lang w:val="fr-FR"/>
        </w:rPr>
        <w:t>’</w:t>
      </w:r>
      <w:r>
        <w:rPr>
          <w:b/>
          <w:bCs/>
          <w:lang w:val="fr-FR"/>
        </w:rPr>
        <w:t>égalité, de tolérance et de respect mutuel, pour prévenir et combattre la discrimination persistante et pour que tous les cas de discrimination à l</w:t>
      </w:r>
      <w:r>
        <w:rPr>
          <w:b/>
          <w:bCs/>
          <w:lang w:val="fr-FR"/>
        </w:rPr>
        <w:t>’</w:t>
      </w:r>
      <w:r>
        <w:rPr>
          <w:b/>
          <w:bCs/>
          <w:lang w:val="fr-FR"/>
        </w:rPr>
        <w:t>égard des enfants, dans tous les secteurs de la société, soient dûment pris en considération.</w:t>
      </w:r>
      <w:r>
        <w:rPr>
          <w:lang w:val="fr-FR"/>
        </w:rPr>
        <w:t xml:space="preserve"> </w:t>
      </w:r>
      <w:r>
        <w:rPr>
          <w:b/>
          <w:bCs/>
          <w:lang w:val="fr-FR"/>
        </w:rPr>
        <w:t>Il lui recommande de prendre des mesures concrètes pour lutter contre la discrimination</w:t>
      </w:r>
      <w:r w:rsidR="005727BB">
        <w:rPr>
          <w:b/>
          <w:bCs/>
          <w:lang w:val="fr-FR"/>
        </w:rPr>
        <w:t xml:space="preserve"> </w:t>
      </w:r>
      <w:r>
        <w:rPr>
          <w:b/>
          <w:bCs/>
          <w:lang w:val="fr-FR"/>
        </w:rPr>
        <w:t>à l</w:t>
      </w:r>
      <w:r>
        <w:rPr>
          <w:b/>
          <w:bCs/>
          <w:lang w:val="fr-FR"/>
        </w:rPr>
        <w:t>’</w:t>
      </w:r>
      <w:r>
        <w:rPr>
          <w:b/>
          <w:bCs/>
          <w:lang w:val="fr-FR"/>
        </w:rPr>
        <w:t>égard des enfants marginalisés ou défavorisés, en particulier les enfants vivant dans des squats ou d</w:t>
      </w:r>
      <w:r>
        <w:rPr>
          <w:b/>
          <w:bCs/>
          <w:lang w:val="fr-FR"/>
        </w:rPr>
        <w:t>’</w:t>
      </w:r>
      <w:r>
        <w:rPr>
          <w:b/>
          <w:bCs/>
          <w:lang w:val="fr-FR"/>
        </w:rPr>
        <w:t xml:space="preserve">autres logements informels, les enfants roms, les enfants handicapés, les enfants lesbiennes, gays, bisexuels, transgenres ou </w:t>
      </w:r>
      <w:proofErr w:type="spellStart"/>
      <w:r>
        <w:rPr>
          <w:b/>
          <w:bCs/>
          <w:lang w:val="fr-FR"/>
        </w:rPr>
        <w:t>intersexes</w:t>
      </w:r>
      <w:proofErr w:type="spellEnd"/>
      <w:r>
        <w:rPr>
          <w:b/>
          <w:bCs/>
          <w:lang w:val="fr-FR"/>
        </w:rPr>
        <w:t>, les enfants demandeurs d</w:t>
      </w:r>
      <w:r>
        <w:rPr>
          <w:b/>
          <w:bCs/>
          <w:lang w:val="fr-FR"/>
        </w:rPr>
        <w:t>’</w:t>
      </w:r>
      <w:r>
        <w:rPr>
          <w:b/>
          <w:bCs/>
          <w:lang w:val="fr-FR"/>
        </w:rPr>
        <w:t>asile, réfugiés ou migrants et les enfants appartenant à des minorités raciales, ethniques ou religieuses.</w:t>
      </w:r>
    </w:p>
    <w:p w14:paraId="26AE7392" w14:textId="5931603B" w:rsidR="00050CF5" w:rsidRPr="00DC2178" w:rsidRDefault="00050CF5" w:rsidP="00050CF5">
      <w:pPr>
        <w:pStyle w:val="H23G"/>
        <w:rPr>
          <w:bCs/>
          <w:lang w:val="fr-FR"/>
        </w:rPr>
      </w:pPr>
      <w:r>
        <w:rPr>
          <w:lang w:val="fr-FR"/>
        </w:rPr>
        <w:tab/>
      </w:r>
      <w:r>
        <w:rPr>
          <w:lang w:val="fr-FR"/>
        </w:rPr>
        <w:tab/>
      </w:r>
      <w:r>
        <w:rPr>
          <w:bCs/>
          <w:lang w:val="fr-FR"/>
        </w:rPr>
        <w:t>Intérêt supérieur de l</w:t>
      </w:r>
      <w:r>
        <w:rPr>
          <w:bCs/>
          <w:lang w:val="fr-FR"/>
        </w:rPr>
        <w:t>’</w:t>
      </w:r>
      <w:r>
        <w:rPr>
          <w:bCs/>
          <w:lang w:val="fr-FR"/>
        </w:rPr>
        <w:t>enfant</w:t>
      </w:r>
    </w:p>
    <w:p w14:paraId="0D9478F8" w14:textId="0EE5D286" w:rsidR="00050CF5" w:rsidRPr="00DC2178" w:rsidRDefault="00050CF5" w:rsidP="00050CF5">
      <w:pPr>
        <w:pStyle w:val="SingleTxtG"/>
        <w:rPr>
          <w:b/>
          <w:bCs/>
          <w:lang w:val="fr-FR"/>
        </w:rPr>
      </w:pPr>
      <w:r>
        <w:rPr>
          <w:lang w:val="fr-FR"/>
        </w:rPr>
        <w:t>17.</w:t>
      </w:r>
      <w:r>
        <w:rPr>
          <w:lang w:val="fr-FR"/>
        </w:rPr>
        <w:tab/>
      </w:r>
      <w:r>
        <w:rPr>
          <w:b/>
          <w:bCs/>
          <w:lang w:val="fr-FR"/>
        </w:rPr>
        <w:t>Le Comité prend note avec satisfaction de la reconnaissance par la Cour de cassation de l</w:t>
      </w:r>
      <w:r>
        <w:rPr>
          <w:b/>
          <w:bCs/>
          <w:lang w:val="fr-FR"/>
        </w:rPr>
        <w:t>’</w:t>
      </w:r>
      <w:r>
        <w:rPr>
          <w:b/>
          <w:bCs/>
          <w:lang w:val="fr-FR"/>
        </w:rPr>
        <w:t>applicabilité directe de l</w:t>
      </w:r>
      <w:r>
        <w:rPr>
          <w:b/>
          <w:bCs/>
          <w:lang w:val="fr-FR"/>
        </w:rPr>
        <w:t>’</w:t>
      </w:r>
      <w:r>
        <w:rPr>
          <w:b/>
          <w:bCs/>
          <w:lang w:val="fr-FR"/>
        </w:rPr>
        <w:t xml:space="preserve">article 3 (par. 1) et, renvoyant à son observation générale </w:t>
      </w:r>
      <w:r w:rsidR="00D46FD4" w:rsidRPr="00D46FD4">
        <w:rPr>
          <w:rFonts w:eastAsia="MS Mincho"/>
          <w:b/>
          <w:bCs/>
          <w:szCs w:val="22"/>
          <w:lang w:val="fr-FR"/>
        </w:rPr>
        <w:t>n</w:t>
      </w:r>
      <w:r w:rsidR="00D46FD4" w:rsidRPr="00D46FD4">
        <w:rPr>
          <w:rFonts w:eastAsia="MS Mincho"/>
          <w:b/>
          <w:bCs/>
          <w:szCs w:val="22"/>
          <w:vertAlign w:val="superscript"/>
          <w:lang w:val="fr-FR"/>
        </w:rPr>
        <w:t>o</w:t>
      </w:r>
      <w:r w:rsidR="00D46FD4">
        <w:rPr>
          <w:b/>
          <w:bCs/>
          <w:lang w:val="fr-FR"/>
        </w:rPr>
        <w:t> </w:t>
      </w:r>
      <w:r>
        <w:rPr>
          <w:b/>
          <w:bCs/>
          <w:lang w:val="fr-FR"/>
        </w:rPr>
        <w:t>14 (2013) sur le droit de l</w:t>
      </w:r>
      <w:r>
        <w:rPr>
          <w:b/>
          <w:bCs/>
          <w:lang w:val="fr-FR"/>
        </w:rPr>
        <w:t>’</w:t>
      </w:r>
      <w:r>
        <w:rPr>
          <w:b/>
          <w:bCs/>
          <w:lang w:val="fr-FR"/>
        </w:rPr>
        <w:t>enfant à ce que son intérêt supérieur soit une considération primordiale, il recommande de nouveau à l</w:t>
      </w:r>
      <w:r>
        <w:rPr>
          <w:b/>
          <w:bCs/>
          <w:lang w:val="fr-FR"/>
        </w:rPr>
        <w:t>’</w:t>
      </w:r>
      <w:r>
        <w:rPr>
          <w:b/>
          <w:bCs/>
          <w:lang w:val="fr-FR"/>
        </w:rPr>
        <w:t>État partie de redoubler d</w:t>
      </w:r>
      <w:r>
        <w:rPr>
          <w:b/>
          <w:bCs/>
          <w:lang w:val="fr-FR"/>
        </w:rPr>
        <w:t>’</w:t>
      </w:r>
      <w:r>
        <w:rPr>
          <w:b/>
          <w:bCs/>
          <w:lang w:val="fr-FR"/>
        </w:rPr>
        <w:t xml:space="preserve">efforts pour que ce droit soit convenablement intégré puis interprété et appliqué de manière cohérente dans toutes les procédures et décisions législatives, administratives et judiciaires, ainsi que dans toutes les politiques, programmes et projets concernant les </w:t>
      </w:r>
      <w:r>
        <w:rPr>
          <w:b/>
          <w:bCs/>
          <w:lang w:val="fr-FR"/>
        </w:rPr>
        <w:lastRenderedPageBreak/>
        <w:t>enfants ou ayant un effet sur eux</w:t>
      </w:r>
      <w:r w:rsidRPr="00A02FBD">
        <w:rPr>
          <w:rStyle w:val="Appelnotedebasdep"/>
          <w:lang w:val="fr-FR"/>
        </w:rPr>
        <w:footnoteReference w:id="8"/>
      </w:r>
      <w:r>
        <w:rPr>
          <w:b/>
          <w:bCs/>
          <w:lang w:val="fr-FR"/>
        </w:rPr>
        <w:t>.</w:t>
      </w:r>
      <w:r>
        <w:rPr>
          <w:lang w:val="fr-FR"/>
        </w:rPr>
        <w:t xml:space="preserve"> </w:t>
      </w:r>
      <w:r>
        <w:rPr>
          <w:b/>
          <w:bCs/>
          <w:lang w:val="fr-FR"/>
        </w:rPr>
        <w:t>À cet égard, l</w:t>
      </w:r>
      <w:r>
        <w:rPr>
          <w:b/>
          <w:bCs/>
          <w:lang w:val="fr-FR"/>
        </w:rPr>
        <w:t>’</w:t>
      </w:r>
      <w:r>
        <w:rPr>
          <w:b/>
          <w:bCs/>
          <w:lang w:val="fr-FR"/>
        </w:rPr>
        <w:t>État partie est invité à définir d</w:t>
      </w:r>
      <w:r w:rsidRPr="00160783">
        <w:rPr>
          <w:b/>
          <w:bCs/>
          <w:lang w:val="fr-FR"/>
        </w:rPr>
        <w:t>es procédures et des critères propres à aider toutes les personnes en position d</w:t>
      </w:r>
      <w:r>
        <w:rPr>
          <w:b/>
          <w:bCs/>
          <w:lang w:val="fr-FR"/>
        </w:rPr>
        <w:t>’</w:t>
      </w:r>
      <w:r w:rsidRPr="00160783">
        <w:rPr>
          <w:b/>
          <w:bCs/>
          <w:lang w:val="fr-FR"/>
        </w:rPr>
        <w:t>autorité à déterminer l</w:t>
      </w:r>
      <w:r>
        <w:rPr>
          <w:b/>
          <w:bCs/>
          <w:lang w:val="fr-FR"/>
        </w:rPr>
        <w:t>’</w:t>
      </w:r>
      <w:r w:rsidRPr="00160783">
        <w:rPr>
          <w:b/>
          <w:bCs/>
          <w:lang w:val="fr-FR"/>
        </w:rPr>
        <w:t>intérêt supérieur de l</w:t>
      </w:r>
      <w:r>
        <w:rPr>
          <w:b/>
          <w:bCs/>
          <w:lang w:val="fr-FR"/>
        </w:rPr>
        <w:t>’</w:t>
      </w:r>
      <w:r w:rsidRPr="00160783">
        <w:rPr>
          <w:b/>
          <w:bCs/>
          <w:lang w:val="fr-FR"/>
        </w:rPr>
        <w:t>enfant dans tous les domaines et à en faire une considération primordiale</w:t>
      </w:r>
      <w:r>
        <w:rPr>
          <w:b/>
          <w:bCs/>
          <w:lang w:val="fr-FR"/>
        </w:rPr>
        <w:t>.</w:t>
      </w:r>
    </w:p>
    <w:p w14:paraId="13F16CCE" w14:textId="77777777" w:rsidR="00050CF5" w:rsidRPr="00DC2178" w:rsidRDefault="00050CF5" w:rsidP="00050CF5">
      <w:pPr>
        <w:pStyle w:val="H23G"/>
        <w:rPr>
          <w:rFonts w:eastAsia="Malgun Gothic"/>
          <w:bCs/>
          <w:lang w:val="fr-FR"/>
        </w:rPr>
      </w:pPr>
      <w:r>
        <w:rPr>
          <w:lang w:val="fr-FR"/>
        </w:rPr>
        <w:tab/>
      </w:r>
      <w:r>
        <w:rPr>
          <w:lang w:val="fr-FR"/>
        </w:rPr>
        <w:tab/>
      </w:r>
      <w:r>
        <w:rPr>
          <w:bCs/>
          <w:lang w:val="fr-FR"/>
        </w:rPr>
        <w:t>Droit à la vie, à la survie et au développement</w:t>
      </w:r>
    </w:p>
    <w:p w14:paraId="2FE7E2D8" w14:textId="0F9C6FF5" w:rsidR="00050CF5" w:rsidRPr="00DC2178" w:rsidRDefault="00050CF5" w:rsidP="00050CF5">
      <w:pPr>
        <w:pStyle w:val="SingleTxtG"/>
        <w:rPr>
          <w:b/>
          <w:bCs/>
          <w:lang w:val="fr-FR"/>
        </w:rPr>
      </w:pPr>
      <w:r>
        <w:rPr>
          <w:lang w:val="fr-FR"/>
        </w:rPr>
        <w:t>18.</w:t>
      </w:r>
      <w:r>
        <w:rPr>
          <w:lang w:val="fr-FR"/>
        </w:rPr>
        <w:tab/>
      </w:r>
      <w:r>
        <w:rPr>
          <w:b/>
          <w:bCs/>
          <w:lang w:val="fr-FR"/>
        </w:rPr>
        <w:t>Le Comité recommande à l</w:t>
      </w:r>
      <w:r>
        <w:rPr>
          <w:b/>
          <w:bCs/>
          <w:lang w:val="fr-FR"/>
        </w:rPr>
        <w:t>’</w:t>
      </w:r>
      <w:r>
        <w:rPr>
          <w:b/>
          <w:bCs/>
          <w:lang w:val="fr-FR"/>
        </w:rPr>
        <w:t xml:space="preserve">État partie de continuer à prendre des mesures pour appliquer son plan de lutte contre les violences faites aux enfants (2020-2022) et la loi </w:t>
      </w:r>
      <w:r w:rsidR="00D46FD4" w:rsidRPr="00D46FD4">
        <w:rPr>
          <w:rFonts w:eastAsia="MS Mincho"/>
          <w:b/>
          <w:bCs/>
          <w:szCs w:val="22"/>
          <w:lang w:val="fr-FR"/>
        </w:rPr>
        <w:t>n</w:t>
      </w:r>
      <w:r w:rsidR="00D46FD4" w:rsidRPr="00D46FD4">
        <w:rPr>
          <w:rFonts w:eastAsia="MS Mincho"/>
          <w:b/>
          <w:bCs/>
          <w:szCs w:val="22"/>
          <w:vertAlign w:val="superscript"/>
          <w:lang w:val="fr-FR"/>
        </w:rPr>
        <w:t>o</w:t>
      </w:r>
      <w:r w:rsidR="00D46FD4">
        <w:rPr>
          <w:b/>
          <w:bCs/>
          <w:lang w:val="fr-FR"/>
        </w:rPr>
        <w:t> </w:t>
      </w:r>
      <w:r>
        <w:rPr>
          <w:b/>
          <w:bCs/>
          <w:lang w:val="fr-FR"/>
        </w:rPr>
        <w:t>2019-1480 du 28</w:t>
      </w:r>
      <w:r w:rsidR="00D46FD4">
        <w:rPr>
          <w:b/>
          <w:bCs/>
          <w:lang w:val="fr-FR"/>
        </w:rPr>
        <w:t> </w:t>
      </w:r>
      <w:r>
        <w:rPr>
          <w:b/>
          <w:bCs/>
          <w:lang w:val="fr-FR"/>
        </w:rPr>
        <w:t>décembre 2019 visant à agir contre les violences au sein de la famille, afin de prévenir les décès causés par la maltraitance d</w:t>
      </w:r>
      <w:r>
        <w:rPr>
          <w:b/>
          <w:bCs/>
          <w:lang w:val="fr-FR"/>
        </w:rPr>
        <w:t>’</w:t>
      </w:r>
      <w:r>
        <w:rPr>
          <w:b/>
          <w:bCs/>
          <w:lang w:val="fr-FR"/>
        </w:rPr>
        <w:t>enfants.</w:t>
      </w:r>
    </w:p>
    <w:p w14:paraId="6DF6414C" w14:textId="7E53837E" w:rsidR="00050CF5" w:rsidRPr="00DC2178" w:rsidRDefault="00050CF5" w:rsidP="00050CF5">
      <w:pPr>
        <w:pStyle w:val="H23G"/>
        <w:rPr>
          <w:bCs/>
          <w:lang w:val="fr-FR"/>
        </w:rPr>
      </w:pPr>
      <w:r>
        <w:rPr>
          <w:lang w:val="fr-FR"/>
        </w:rPr>
        <w:tab/>
      </w:r>
      <w:r>
        <w:rPr>
          <w:lang w:val="fr-FR"/>
        </w:rPr>
        <w:tab/>
      </w:r>
      <w:r>
        <w:rPr>
          <w:bCs/>
          <w:lang w:val="fr-FR"/>
        </w:rPr>
        <w:t>Respect de l</w:t>
      </w:r>
      <w:r>
        <w:rPr>
          <w:bCs/>
          <w:lang w:val="fr-FR"/>
        </w:rPr>
        <w:t>’</w:t>
      </w:r>
      <w:r>
        <w:rPr>
          <w:bCs/>
          <w:lang w:val="fr-FR"/>
        </w:rPr>
        <w:t>opinion de l</w:t>
      </w:r>
      <w:r>
        <w:rPr>
          <w:bCs/>
          <w:lang w:val="fr-FR"/>
        </w:rPr>
        <w:t>’</w:t>
      </w:r>
      <w:r>
        <w:rPr>
          <w:bCs/>
          <w:lang w:val="fr-FR"/>
        </w:rPr>
        <w:t>enfant</w:t>
      </w:r>
    </w:p>
    <w:p w14:paraId="1B33EFBB" w14:textId="51D1B1AB" w:rsidR="00050CF5" w:rsidRPr="00DC2178" w:rsidRDefault="00050CF5" w:rsidP="00050CF5">
      <w:pPr>
        <w:pStyle w:val="SingleTxtG"/>
        <w:rPr>
          <w:b/>
          <w:bCs/>
          <w:lang w:val="fr-FR"/>
        </w:rPr>
      </w:pPr>
      <w:r>
        <w:rPr>
          <w:lang w:val="fr-FR"/>
        </w:rPr>
        <w:t>19.</w:t>
      </w:r>
      <w:r>
        <w:rPr>
          <w:lang w:val="fr-FR"/>
        </w:rPr>
        <w:tab/>
      </w:r>
      <w:r>
        <w:rPr>
          <w:b/>
          <w:bCs/>
          <w:lang w:val="fr-FR"/>
        </w:rPr>
        <w:t xml:space="preserve">Renvoyant à son observation générale </w:t>
      </w:r>
      <w:r w:rsidR="00D46FD4" w:rsidRPr="00D46FD4">
        <w:rPr>
          <w:rFonts w:eastAsia="MS Mincho"/>
          <w:b/>
          <w:bCs/>
          <w:szCs w:val="22"/>
          <w:lang w:val="fr-FR"/>
        </w:rPr>
        <w:t>n</w:t>
      </w:r>
      <w:r w:rsidR="00D46FD4" w:rsidRPr="00D46FD4">
        <w:rPr>
          <w:rFonts w:eastAsia="MS Mincho"/>
          <w:b/>
          <w:bCs/>
          <w:szCs w:val="22"/>
          <w:vertAlign w:val="superscript"/>
          <w:lang w:val="fr-FR"/>
        </w:rPr>
        <w:t>o</w:t>
      </w:r>
      <w:r w:rsidR="00D46FD4">
        <w:rPr>
          <w:b/>
          <w:bCs/>
          <w:lang w:val="fr-FR"/>
        </w:rPr>
        <w:t> </w:t>
      </w:r>
      <w:r>
        <w:rPr>
          <w:b/>
          <w:bCs/>
          <w:lang w:val="fr-FR"/>
        </w:rPr>
        <w:t>12 (2009) sur le droit de l</w:t>
      </w:r>
      <w:r>
        <w:rPr>
          <w:b/>
          <w:bCs/>
          <w:lang w:val="fr-FR"/>
        </w:rPr>
        <w:t>’</w:t>
      </w:r>
      <w:r>
        <w:rPr>
          <w:b/>
          <w:bCs/>
          <w:lang w:val="fr-FR"/>
        </w:rPr>
        <w:t>enfant d</w:t>
      </w:r>
      <w:r>
        <w:rPr>
          <w:b/>
          <w:bCs/>
          <w:lang w:val="fr-FR"/>
        </w:rPr>
        <w:t>’</w:t>
      </w:r>
      <w:r>
        <w:rPr>
          <w:b/>
          <w:bCs/>
          <w:lang w:val="fr-FR"/>
        </w:rPr>
        <w:t>être entendu et prenant note des bonnes pratiques mises en place, telles que les échanges réguliers entre des délégations d</w:t>
      </w:r>
      <w:r>
        <w:rPr>
          <w:b/>
          <w:bCs/>
          <w:lang w:val="fr-FR"/>
        </w:rPr>
        <w:t>’</w:t>
      </w:r>
      <w:r>
        <w:rPr>
          <w:b/>
          <w:bCs/>
          <w:lang w:val="fr-FR"/>
        </w:rPr>
        <w:t xml:space="preserve">enfants et le Premier </w:t>
      </w:r>
      <w:r w:rsidR="005727BB">
        <w:rPr>
          <w:b/>
          <w:bCs/>
          <w:lang w:val="fr-FR"/>
        </w:rPr>
        <w:t>M</w:t>
      </w:r>
      <w:r>
        <w:rPr>
          <w:b/>
          <w:bCs/>
          <w:lang w:val="fr-FR"/>
        </w:rPr>
        <w:t>inistre, le Comité recommande à l</w:t>
      </w:r>
      <w:r>
        <w:rPr>
          <w:b/>
          <w:bCs/>
          <w:lang w:val="fr-FR"/>
        </w:rPr>
        <w:t>’</w:t>
      </w:r>
      <w:r>
        <w:rPr>
          <w:b/>
          <w:bCs/>
          <w:lang w:val="fr-FR"/>
        </w:rPr>
        <w:t>État partie :</w:t>
      </w:r>
    </w:p>
    <w:p w14:paraId="32809ACC" w14:textId="68DD90D9" w:rsidR="00050CF5" w:rsidRPr="00DC2178" w:rsidRDefault="00050CF5" w:rsidP="00050CF5">
      <w:pPr>
        <w:pStyle w:val="SingleTxtG"/>
        <w:ind w:firstLine="567"/>
        <w:rPr>
          <w:b/>
          <w:bCs/>
          <w:lang w:val="fr-FR"/>
        </w:rPr>
      </w:pPr>
      <w:r w:rsidRPr="00D46FD4">
        <w:rPr>
          <w:b/>
          <w:bCs/>
          <w:lang w:val="fr-FR"/>
        </w:rPr>
        <w:t>a)</w:t>
      </w:r>
      <w:r w:rsidRPr="00D46FD4">
        <w:rPr>
          <w:b/>
          <w:bCs/>
          <w:lang w:val="fr-FR"/>
        </w:rPr>
        <w:tab/>
      </w:r>
      <w:r>
        <w:rPr>
          <w:b/>
          <w:bCs/>
          <w:lang w:val="fr-FR"/>
        </w:rPr>
        <w:t>De prendre des mesures propres à garantir l</w:t>
      </w:r>
      <w:r>
        <w:rPr>
          <w:b/>
          <w:bCs/>
          <w:lang w:val="fr-FR"/>
        </w:rPr>
        <w:t>’</w:t>
      </w:r>
      <w:r>
        <w:rPr>
          <w:b/>
          <w:bCs/>
          <w:lang w:val="fr-FR"/>
        </w:rPr>
        <w:t>application effective de sa législation et de ses politiques relatives au droit de l</w:t>
      </w:r>
      <w:r>
        <w:rPr>
          <w:b/>
          <w:bCs/>
          <w:lang w:val="fr-FR"/>
        </w:rPr>
        <w:t>’</w:t>
      </w:r>
      <w:r>
        <w:rPr>
          <w:b/>
          <w:bCs/>
          <w:lang w:val="fr-FR"/>
        </w:rPr>
        <w:t>enfant d</w:t>
      </w:r>
      <w:r>
        <w:rPr>
          <w:b/>
          <w:bCs/>
          <w:lang w:val="fr-FR"/>
        </w:rPr>
        <w:t>’</w:t>
      </w:r>
      <w:r>
        <w:rPr>
          <w:b/>
          <w:bCs/>
          <w:lang w:val="fr-FR"/>
        </w:rPr>
        <w:t>être entendu dans les procédures judiciaires le concernant, en particulier la Stratégie nationale de prévention et de protection de l</w:t>
      </w:r>
      <w:r>
        <w:rPr>
          <w:b/>
          <w:bCs/>
          <w:lang w:val="fr-FR"/>
        </w:rPr>
        <w:t>’</w:t>
      </w:r>
      <w:r>
        <w:rPr>
          <w:b/>
          <w:bCs/>
          <w:lang w:val="fr-FR"/>
        </w:rPr>
        <w:t>enfance (2020-2022), la circulaire du 19</w:t>
      </w:r>
      <w:r w:rsidR="00D46FD4">
        <w:rPr>
          <w:b/>
          <w:bCs/>
          <w:lang w:val="fr-FR"/>
        </w:rPr>
        <w:t> </w:t>
      </w:r>
      <w:r>
        <w:rPr>
          <w:b/>
          <w:bCs/>
          <w:lang w:val="fr-FR"/>
        </w:rPr>
        <w:t>avril 2017 relative à la protection judiciaire de l</w:t>
      </w:r>
      <w:r>
        <w:rPr>
          <w:b/>
          <w:bCs/>
          <w:lang w:val="fr-FR"/>
        </w:rPr>
        <w:t>’</w:t>
      </w:r>
      <w:r>
        <w:rPr>
          <w:b/>
          <w:bCs/>
          <w:lang w:val="fr-FR"/>
        </w:rPr>
        <w:t xml:space="preserve">enfant et la loi </w:t>
      </w:r>
      <w:r w:rsidR="00D46FD4" w:rsidRPr="00D46FD4">
        <w:rPr>
          <w:rFonts w:eastAsia="MS Mincho"/>
          <w:b/>
          <w:bCs/>
          <w:szCs w:val="22"/>
          <w:lang w:val="fr-FR"/>
        </w:rPr>
        <w:t>n</w:t>
      </w:r>
      <w:r w:rsidR="00D46FD4" w:rsidRPr="00D46FD4">
        <w:rPr>
          <w:rFonts w:eastAsia="MS Mincho"/>
          <w:b/>
          <w:bCs/>
          <w:szCs w:val="22"/>
          <w:vertAlign w:val="superscript"/>
          <w:lang w:val="fr-FR"/>
        </w:rPr>
        <w:t>o</w:t>
      </w:r>
      <w:r w:rsidR="00D46FD4">
        <w:rPr>
          <w:b/>
          <w:bCs/>
          <w:lang w:val="fr-FR"/>
        </w:rPr>
        <w:t> </w:t>
      </w:r>
      <w:r>
        <w:rPr>
          <w:b/>
          <w:bCs/>
          <w:lang w:val="fr-FR"/>
        </w:rPr>
        <w:t>2022-140 du 7</w:t>
      </w:r>
      <w:r w:rsidR="00D46FD4">
        <w:rPr>
          <w:b/>
          <w:bCs/>
          <w:lang w:val="fr-FR"/>
        </w:rPr>
        <w:t> </w:t>
      </w:r>
      <w:r>
        <w:rPr>
          <w:b/>
          <w:bCs/>
          <w:lang w:val="fr-FR"/>
        </w:rPr>
        <w:t>février 2022 relative à la protection des enfants, notamment en mettant en place des systèmes ou des procédures pour garantir que les travailleurs sociaux et les tribunaux respectent ce droit ;</w:t>
      </w:r>
    </w:p>
    <w:p w14:paraId="0ABF50FD" w14:textId="1D52E9C7" w:rsidR="00050CF5" w:rsidRPr="00DC2178" w:rsidRDefault="00050CF5" w:rsidP="00050CF5">
      <w:pPr>
        <w:pStyle w:val="SingleTxtG"/>
        <w:ind w:firstLine="567"/>
        <w:rPr>
          <w:b/>
          <w:bCs/>
          <w:lang w:val="fr-FR"/>
        </w:rPr>
      </w:pPr>
      <w:r w:rsidRPr="00D46FD4">
        <w:rPr>
          <w:b/>
          <w:bCs/>
          <w:lang w:val="fr-FR"/>
        </w:rPr>
        <w:t>b)</w:t>
      </w:r>
      <w:r>
        <w:rPr>
          <w:lang w:val="fr-FR"/>
        </w:rPr>
        <w:tab/>
      </w:r>
      <w:r>
        <w:rPr>
          <w:b/>
          <w:bCs/>
          <w:lang w:val="fr-FR"/>
        </w:rPr>
        <w:t>De veiller à l</w:t>
      </w:r>
      <w:r>
        <w:rPr>
          <w:b/>
          <w:bCs/>
          <w:lang w:val="fr-FR"/>
        </w:rPr>
        <w:t>’</w:t>
      </w:r>
      <w:r>
        <w:rPr>
          <w:b/>
          <w:bCs/>
          <w:lang w:val="fr-FR"/>
        </w:rPr>
        <w:t>utilisation systématique des salles dites « Mélanie », de continuer à développer le réseau des unités d</w:t>
      </w:r>
      <w:r>
        <w:rPr>
          <w:b/>
          <w:bCs/>
          <w:lang w:val="fr-FR"/>
        </w:rPr>
        <w:t>’</w:t>
      </w:r>
      <w:r>
        <w:rPr>
          <w:b/>
          <w:bCs/>
          <w:lang w:val="fr-FR"/>
        </w:rPr>
        <w:t>accueil pédiatrique enfance en danger, qui assurent le recueil de preuves auprès des enfants victimes et la prise en charge de ces enfants, et d</w:t>
      </w:r>
      <w:r>
        <w:rPr>
          <w:b/>
          <w:bCs/>
          <w:lang w:val="fr-FR"/>
        </w:rPr>
        <w:t>’</w:t>
      </w:r>
      <w:r>
        <w:rPr>
          <w:b/>
          <w:bCs/>
          <w:lang w:val="fr-FR"/>
        </w:rPr>
        <w:t>augmenter les financements publics alloués à ces initiatives ;</w:t>
      </w:r>
    </w:p>
    <w:p w14:paraId="6892BB52" w14:textId="04855B91" w:rsidR="00050CF5" w:rsidRPr="00DC2178" w:rsidRDefault="00050CF5" w:rsidP="00050CF5">
      <w:pPr>
        <w:pStyle w:val="SingleTxtG"/>
        <w:ind w:firstLine="567"/>
        <w:rPr>
          <w:b/>
          <w:bCs/>
          <w:lang w:val="fr-FR"/>
        </w:rPr>
      </w:pPr>
      <w:r w:rsidRPr="00D46FD4">
        <w:rPr>
          <w:b/>
          <w:bCs/>
          <w:lang w:val="fr-FR"/>
        </w:rPr>
        <w:t>c)</w:t>
      </w:r>
      <w:r>
        <w:rPr>
          <w:lang w:val="fr-FR"/>
        </w:rPr>
        <w:tab/>
      </w:r>
      <w:r>
        <w:rPr>
          <w:b/>
          <w:bCs/>
          <w:lang w:val="fr-FR"/>
        </w:rPr>
        <w:t>De dispenser une formation continue régulière et approfondie aux professionnels qui travaillent au contact ou au service d</w:t>
      </w:r>
      <w:r>
        <w:rPr>
          <w:b/>
          <w:bCs/>
          <w:lang w:val="fr-FR"/>
        </w:rPr>
        <w:t>’</w:t>
      </w:r>
      <w:r>
        <w:rPr>
          <w:b/>
          <w:bCs/>
          <w:lang w:val="fr-FR"/>
        </w:rPr>
        <w:t>enfants, notamment dans le système judiciaire, sur le droit de l</w:t>
      </w:r>
      <w:r>
        <w:rPr>
          <w:b/>
          <w:bCs/>
          <w:lang w:val="fr-FR"/>
        </w:rPr>
        <w:t>’</w:t>
      </w:r>
      <w:r>
        <w:rPr>
          <w:b/>
          <w:bCs/>
          <w:lang w:val="fr-FR"/>
        </w:rPr>
        <w:t>enfant d</w:t>
      </w:r>
      <w:r>
        <w:rPr>
          <w:b/>
          <w:bCs/>
          <w:lang w:val="fr-FR"/>
        </w:rPr>
        <w:t>’</w:t>
      </w:r>
      <w:r>
        <w:rPr>
          <w:b/>
          <w:bCs/>
          <w:lang w:val="fr-FR"/>
        </w:rPr>
        <w:t>être entendu, et de mettre en place des programmes de sensibilisation du public ;</w:t>
      </w:r>
    </w:p>
    <w:p w14:paraId="60292895" w14:textId="7B083E05" w:rsidR="00050CF5" w:rsidRPr="00DC2178" w:rsidRDefault="00050CF5" w:rsidP="00050CF5">
      <w:pPr>
        <w:pStyle w:val="SingleTxtG"/>
        <w:ind w:firstLine="567"/>
        <w:rPr>
          <w:b/>
          <w:bCs/>
          <w:lang w:val="fr-FR"/>
        </w:rPr>
      </w:pPr>
      <w:r w:rsidRPr="00D46FD4">
        <w:rPr>
          <w:b/>
          <w:bCs/>
          <w:lang w:val="fr-FR"/>
        </w:rPr>
        <w:t>d)</w:t>
      </w:r>
      <w:r>
        <w:rPr>
          <w:lang w:val="fr-FR"/>
        </w:rPr>
        <w:tab/>
      </w:r>
      <w:r>
        <w:rPr>
          <w:b/>
          <w:bCs/>
          <w:lang w:val="fr-FR"/>
        </w:rPr>
        <w:t>D</w:t>
      </w:r>
      <w:r>
        <w:rPr>
          <w:b/>
          <w:bCs/>
          <w:lang w:val="fr-FR"/>
        </w:rPr>
        <w:t>’</w:t>
      </w:r>
      <w:r>
        <w:rPr>
          <w:b/>
          <w:bCs/>
          <w:lang w:val="fr-FR"/>
        </w:rPr>
        <w:t>encourager la participation effective et active de tous les enfants dans la famille, dans la communauté et à l</w:t>
      </w:r>
      <w:r>
        <w:rPr>
          <w:b/>
          <w:bCs/>
          <w:lang w:val="fr-FR"/>
        </w:rPr>
        <w:t>’</w:t>
      </w:r>
      <w:r>
        <w:rPr>
          <w:b/>
          <w:bCs/>
          <w:lang w:val="fr-FR"/>
        </w:rPr>
        <w:t>école et d</w:t>
      </w:r>
      <w:r>
        <w:rPr>
          <w:b/>
          <w:bCs/>
          <w:lang w:val="fr-FR"/>
        </w:rPr>
        <w:t>’</w:t>
      </w:r>
      <w:r>
        <w:rPr>
          <w:b/>
          <w:bCs/>
          <w:lang w:val="fr-FR"/>
        </w:rPr>
        <w:t>améliorer la participation des enfants au contrôle, à l</w:t>
      </w:r>
      <w:r>
        <w:rPr>
          <w:b/>
          <w:bCs/>
          <w:lang w:val="fr-FR"/>
        </w:rPr>
        <w:t>’</w:t>
      </w:r>
      <w:r>
        <w:rPr>
          <w:b/>
          <w:bCs/>
          <w:lang w:val="fr-FR"/>
        </w:rPr>
        <w:t>application et à l</w:t>
      </w:r>
      <w:r>
        <w:rPr>
          <w:b/>
          <w:bCs/>
          <w:lang w:val="fr-FR"/>
        </w:rPr>
        <w:t>’</w:t>
      </w:r>
      <w:r>
        <w:rPr>
          <w:b/>
          <w:bCs/>
          <w:lang w:val="fr-FR"/>
        </w:rPr>
        <w:t>évaluation des décisions, des politiques et des programmes publics qui les concernent ;</w:t>
      </w:r>
    </w:p>
    <w:p w14:paraId="2606B645" w14:textId="37EF2F8D" w:rsidR="00050CF5" w:rsidRPr="00DC2178" w:rsidRDefault="00050CF5" w:rsidP="00050CF5">
      <w:pPr>
        <w:pStyle w:val="SingleTxtG"/>
        <w:ind w:firstLine="567"/>
        <w:rPr>
          <w:b/>
          <w:bCs/>
          <w:lang w:val="fr-FR"/>
        </w:rPr>
      </w:pPr>
      <w:r w:rsidRPr="00D46FD4">
        <w:rPr>
          <w:b/>
          <w:bCs/>
          <w:lang w:val="fr-FR"/>
        </w:rPr>
        <w:t>e)</w:t>
      </w:r>
      <w:r>
        <w:rPr>
          <w:lang w:val="fr-FR"/>
        </w:rPr>
        <w:tab/>
      </w:r>
      <w:r>
        <w:rPr>
          <w:b/>
          <w:bCs/>
          <w:lang w:val="fr-FR"/>
        </w:rPr>
        <w:t>De renforcer les organismes composés d</w:t>
      </w:r>
      <w:r>
        <w:rPr>
          <w:b/>
          <w:bCs/>
          <w:lang w:val="fr-FR"/>
        </w:rPr>
        <w:t>’</w:t>
      </w:r>
      <w:r>
        <w:rPr>
          <w:b/>
          <w:bCs/>
          <w:lang w:val="fr-FR"/>
        </w:rPr>
        <w:t>enfants, tels que les conseils d</w:t>
      </w:r>
      <w:r>
        <w:rPr>
          <w:b/>
          <w:bCs/>
          <w:lang w:val="fr-FR"/>
        </w:rPr>
        <w:t>’</w:t>
      </w:r>
      <w:r>
        <w:rPr>
          <w:b/>
          <w:bCs/>
          <w:lang w:val="fr-FR"/>
        </w:rPr>
        <w:t>enfants, le Parlement des enfants, le Conseil d</w:t>
      </w:r>
      <w:r>
        <w:rPr>
          <w:b/>
          <w:bCs/>
          <w:lang w:val="fr-FR"/>
        </w:rPr>
        <w:t>’</w:t>
      </w:r>
      <w:r>
        <w:rPr>
          <w:b/>
          <w:bCs/>
          <w:lang w:val="fr-FR"/>
        </w:rPr>
        <w:t>orientation des politiques de jeunesse et le Conseil de l</w:t>
      </w:r>
      <w:r>
        <w:rPr>
          <w:b/>
          <w:bCs/>
          <w:lang w:val="fr-FR"/>
        </w:rPr>
        <w:t>’</w:t>
      </w:r>
      <w:r>
        <w:rPr>
          <w:b/>
          <w:bCs/>
          <w:lang w:val="fr-FR"/>
        </w:rPr>
        <w:t>enfance et de l</w:t>
      </w:r>
      <w:r>
        <w:rPr>
          <w:b/>
          <w:bCs/>
          <w:lang w:val="fr-FR"/>
        </w:rPr>
        <w:t>’</w:t>
      </w:r>
      <w:r>
        <w:rPr>
          <w:b/>
          <w:bCs/>
          <w:lang w:val="fr-FR"/>
        </w:rPr>
        <w:t>adolescence du Haut Conseil de la famille, de l</w:t>
      </w:r>
      <w:r>
        <w:rPr>
          <w:b/>
          <w:bCs/>
          <w:lang w:val="fr-FR"/>
        </w:rPr>
        <w:t>’</w:t>
      </w:r>
      <w:r>
        <w:rPr>
          <w:b/>
          <w:bCs/>
          <w:lang w:val="fr-FR"/>
        </w:rPr>
        <w:t>enfance et de l</w:t>
      </w:r>
      <w:r>
        <w:rPr>
          <w:b/>
          <w:bCs/>
          <w:lang w:val="fr-FR"/>
        </w:rPr>
        <w:t>’</w:t>
      </w:r>
      <w:r>
        <w:rPr>
          <w:b/>
          <w:bCs/>
          <w:lang w:val="fr-FR"/>
        </w:rPr>
        <w:t>âge, et de veiller à ce qu</w:t>
      </w:r>
      <w:r>
        <w:rPr>
          <w:b/>
          <w:bCs/>
          <w:lang w:val="fr-FR"/>
        </w:rPr>
        <w:t>’</w:t>
      </w:r>
      <w:r>
        <w:rPr>
          <w:b/>
          <w:bCs/>
          <w:lang w:val="fr-FR"/>
        </w:rPr>
        <w:t>ils soient dotés d</w:t>
      </w:r>
      <w:r>
        <w:rPr>
          <w:b/>
          <w:bCs/>
          <w:lang w:val="fr-FR"/>
        </w:rPr>
        <w:t>’</w:t>
      </w:r>
      <w:r>
        <w:rPr>
          <w:b/>
          <w:bCs/>
          <w:lang w:val="fr-FR"/>
        </w:rPr>
        <w:t>un véritable mandat ainsi que de ressources humaines, techniques et financières suffisantes, afin de faciliter la participation effective des enfants aux processus législatifs nationaux portant sur des questions qui les concernent.</w:t>
      </w:r>
    </w:p>
    <w:p w14:paraId="6A8B3C3F" w14:textId="170ABFDF" w:rsidR="00050CF5" w:rsidRPr="00DC2178" w:rsidRDefault="00D46FD4" w:rsidP="00050CF5">
      <w:pPr>
        <w:pStyle w:val="H1G"/>
        <w:rPr>
          <w:bCs/>
          <w:lang w:val="fr-FR"/>
        </w:rPr>
      </w:pPr>
      <w:r>
        <w:rPr>
          <w:bCs/>
          <w:lang w:val="fr-FR"/>
        </w:rPr>
        <w:tab/>
      </w:r>
      <w:r w:rsidR="00050CF5">
        <w:rPr>
          <w:bCs/>
          <w:lang w:val="fr-FR"/>
        </w:rPr>
        <w:t>C.</w:t>
      </w:r>
      <w:r w:rsidR="00050CF5">
        <w:rPr>
          <w:lang w:val="fr-FR"/>
        </w:rPr>
        <w:tab/>
      </w:r>
      <w:r w:rsidR="00050CF5">
        <w:rPr>
          <w:bCs/>
          <w:lang w:val="fr-FR"/>
        </w:rPr>
        <w:t>Libertés et droits civils (art. 7, 8 et 13 à 17)</w:t>
      </w:r>
    </w:p>
    <w:p w14:paraId="7A932C27" w14:textId="117EE0A1" w:rsidR="00050CF5" w:rsidRPr="00DC2178" w:rsidRDefault="00050CF5" w:rsidP="00050CF5">
      <w:pPr>
        <w:pStyle w:val="H23G"/>
        <w:rPr>
          <w:bCs/>
          <w:lang w:val="fr-FR"/>
        </w:rPr>
      </w:pPr>
      <w:r>
        <w:rPr>
          <w:lang w:val="fr-FR"/>
        </w:rPr>
        <w:tab/>
      </w:r>
      <w:r>
        <w:rPr>
          <w:lang w:val="fr-FR"/>
        </w:rPr>
        <w:tab/>
      </w:r>
      <w:r>
        <w:rPr>
          <w:bCs/>
          <w:lang w:val="fr-FR"/>
        </w:rPr>
        <w:t>Enregistrement des naissances, nationalité et droit à l</w:t>
      </w:r>
      <w:r>
        <w:rPr>
          <w:bCs/>
          <w:lang w:val="fr-FR"/>
        </w:rPr>
        <w:t>’</w:t>
      </w:r>
      <w:r>
        <w:rPr>
          <w:bCs/>
          <w:lang w:val="fr-FR"/>
        </w:rPr>
        <w:t>identité</w:t>
      </w:r>
    </w:p>
    <w:p w14:paraId="7B11CA40" w14:textId="764163A4" w:rsidR="00050CF5" w:rsidRPr="00DC2178" w:rsidRDefault="00050CF5" w:rsidP="00050CF5">
      <w:pPr>
        <w:pStyle w:val="SingleTxtG"/>
        <w:rPr>
          <w:b/>
          <w:bCs/>
          <w:lang w:val="fr-FR"/>
        </w:rPr>
      </w:pPr>
      <w:r>
        <w:rPr>
          <w:lang w:val="fr-FR"/>
        </w:rPr>
        <w:t>20.</w:t>
      </w:r>
      <w:r>
        <w:rPr>
          <w:lang w:val="fr-FR"/>
        </w:rPr>
        <w:tab/>
      </w:r>
      <w:r>
        <w:rPr>
          <w:b/>
          <w:bCs/>
          <w:lang w:val="fr-FR"/>
        </w:rPr>
        <w:t>Rappelant la cible 16.9 des objectifs de développement durable, le Comité recommande à l</w:t>
      </w:r>
      <w:r>
        <w:rPr>
          <w:b/>
          <w:bCs/>
          <w:lang w:val="fr-FR"/>
        </w:rPr>
        <w:t>’</w:t>
      </w:r>
      <w:r>
        <w:rPr>
          <w:b/>
          <w:bCs/>
          <w:lang w:val="fr-FR"/>
        </w:rPr>
        <w:t>État partie :</w:t>
      </w:r>
    </w:p>
    <w:p w14:paraId="748903A4" w14:textId="164B3BCE" w:rsidR="00050CF5" w:rsidRPr="00DC2178" w:rsidRDefault="00050CF5" w:rsidP="00050CF5">
      <w:pPr>
        <w:pStyle w:val="SingleTxtG"/>
        <w:ind w:firstLine="567"/>
        <w:rPr>
          <w:b/>
          <w:bCs/>
          <w:lang w:val="fr-FR"/>
        </w:rPr>
      </w:pPr>
      <w:r w:rsidRPr="00D46FD4">
        <w:rPr>
          <w:b/>
          <w:bCs/>
          <w:lang w:val="fr-FR"/>
        </w:rPr>
        <w:t>a)</w:t>
      </w:r>
      <w:r>
        <w:rPr>
          <w:lang w:val="fr-FR"/>
        </w:rPr>
        <w:tab/>
      </w:r>
      <w:r>
        <w:rPr>
          <w:b/>
          <w:bCs/>
          <w:lang w:val="fr-FR"/>
        </w:rPr>
        <w:t>De poursuivre ses efforts pour améliorer l</w:t>
      </w:r>
      <w:r>
        <w:rPr>
          <w:b/>
          <w:bCs/>
          <w:lang w:val="fr-FR"/>
        </w:rPr>
        <w:t>’</w:t>
      </w:r>
      <w:r>
        <w:rPr>
          <w:b/>
          <w:bCs/>
          <w:lang w:val="fr-FR"/>
        </w:rPr>
        <w:t>enregistrement des naissances dans les territoires d</w:t>
      </w:r>
      <w:r>
        <w:rPr>
          <w:b/>
          <w:bCs/>
          <w:lang w:val="fr-FR"/>
        </w:rPr>
        <w:t>’</w:t>
      </w:r>
      <w:r>
        <w:rPr>
          <w:b/>
          <w:bCs/>
          <w:lang w:val="fr-FR"/>
        </w:rPr>
        <w:t>outre-mer ;</w:t>
      </w:r>
    </w:p>
    <w:p w14:paraId="475D974D" w14:textId="6706C0AD" w:rsidR="00050CF5" w:rsidRPr="00D46FD4" w:rsidRDefault="00050CF5" w:rsidP="00050CF5">
      <w:pPr>
        <w:pStyle w:val="SingleTxtG"/>
        <w:ind w:firstLine="567"/>
        <w:rPr>
          <w:b/>
          <w:bCs/>
          <w:lang w:val="fr-FR"/>
        </w:rPr>
      </w:pPr>
      <w:r w:rsidRPr="00D46FD4">
        <w:rPr>
          <w:b/>
          <w:bCs/>
          <w:lang w:val="fr-FR"/>
        </w:rPr>
        <w:lastRenderedPageBreak/>
        <w:t>b)</w:t>
      </w:r>
      <w:r w:rsidRPr="00D46FD4">
        <w:rPr>
          <w:b/>
          <w:bCs/>
          <w:lang w:val="fr-FR"/>
        </w:rPr>
        <w:tab/>
        <w:t>De faire en sorte que les enfants conçus par procréation médicalement assistée aient accès à des informations sur leurs origines avant l</w:t>
      </w:r>
      <w:r w:rsidRPr="00D46FD4">
        <w:rPr>
          <w:b/>
          <w:bCs/>
          <w:lang w:val="fr-FR"/>
        </w:rPr>
        <w:t>’</w:t>
      </w:r>
      <w:r w:rsidRPr="00D46FD4">
        <w:rPr>
          <w:b/>
          <w:bCs/>
          <w:lang w:val="fr-FR"/>
        </w:rPr>
        <w:t>âge de 18</w:t>
      </w:r>
      <w:r w:rsidR="004E1767">
        <w:rPr>
          <w:b/>
          <w:bCs/>
          <w:lang w:val="fr-FR"/>
        </w:rPr>
        <w:t> </w:t>
      </w:r>
      <w:r w:rsidRPr="00D46FD4">
        <w:rPr>
          <w:b/>
          <w:bCs/>
          <w:lang w:val="fr-FR"/>
        </w:rPr>
        <w:t>ans, dès lors qu</w:t>
      </w:r>
      <w:r w:rsidRPr="00D46FD4">
        <w:rPr>
          <w:b/>
          <w:bCs/>
          <w:lang w:val="fr-FR"/>
        </w:rPr>
        <w:t>’</w:t>
      </w:r>
      <w:r w:rsidRPr="00D46FD4">
        <w:rPr>
          <w:b/>
          <w:bCs/>
          <w:lang w:val="fr-FR"/>
        </w:rPr>
        <w:t>ils en font la demande ;</w:t>
      </w:r>
    </w:p>
    <w:p w14:paraId="6C822E06" w14:textId="43CAABB5" w:rsidR="00050CF5" w:rsidRPr="00DC2178" w:rsidRDefault="00050CF5" w:rsidP="00050CF5">
      <w:pPr>
        <w:pStyle w:val="SingleTxtG"/>
        <w:ind w:firstLine="567"/>
        <w:rPr>
          <w:b/>
          <w:bCs/>
          <w:lang w:val="fr-FR"/>
        </w:rPr>
      </w:pPr>
      <w:r w:rsidRPr="00D46FD4">
        <w:rPr>
          <w:b/>
          <w:bCs/>
          <w:lang w:val="fr-FR"/>
        </w:rPr>
        <w:t>c)</w:t>
      </w:r>
      <w:r w:rsidRPr="00D46FD4">
        <w:rPr>
          <w:b/>
          <w:bCs/>
          <w:lang w:val="fr-FR"/>
        </w:rPr>
        <w:tab/>
      </w:r>
      <w:r>
        <w:rPr>
          <w:b/>
          <w:bCs/>
          <w:lang w:val="fr-FR"/>
        </w:rPr>
        <w:t>De réexaminer le régime spécial d</w:t>
      </w:r>
      <w:r>
        <w:rPr>
          <w:b/>
          <w:bCs/>
          <w:lang w:val="fr-FR"/>
        </w:rPr>
        <w:t>’</w:t>
      </w:r>
      <w:r>
        <w:rPr>
          <w:b/>
          <w:bCs/>
          <w:lang w:val="fr-FR"/>
        </w:rPr>
        <w:t>acquisition de la nationalité française pour les enfants qui vivent à Mayotte et d</w:t>
      </w:r>
      <w:r>
        <w:rPr>
          <w:b/>
          <w:bCs/>
          <w:lang w:val="fr-FR"/>
        </w:rPr>
        <w:t>’</w:t>
      </w:r>
      <w:r>
        <w:rPr>
          <w:b/>
          <w:bCs/>
          <w:lang w:val="fr-FR"/>
        </w:rPr>
        <w:t>envisager de ratifier la Convention européenne sur la nationalité et la Convention du Conseil de l</w:t>
      </w:r>
      <w:r>
        <w:rPr>
          <w:b/>
          <w:bCs/>
          <w:lang w:val="fr-FR"/>
        </w:rPr>
        <w:t>’</w:t>
      </w:r>
      <w:r>
        <w:rPr>
          <w:b/>
          <w:bCs/>
          <w:lang w:val="fr-FR"/>
        </w:rPr>
        <w:t>Europe sur la prévention des cas d</w:t>
      </w:r>
      <w:r>
        <w:rPr>
          <w:b/>
          <w:bCs/>
          <w:lang w:val="fr-FR"/>
        </w:rPr>
        <w:t>’</w:t>
      </w:r>
      <w:r>
        <w:rPr>
          <w:b/>
          <w:bCs/>
          <w:lang w:val="fr-FR"/>
        </w:rPr>
        <w:t>apatridie en relation avec la succession d</w:t>
      </w:r>
      <w:r>
        <w:rPr>
          <w:b/>
          <w:bCs/>
          <w:lang w:val="fr-FR"/>
        </w:rPr>
        <w:t>’</w:t>
      </w:r>
      <w:r>
        <w:rPr>
          <w:b/>
          <w:bCs/>
          <w:lang w:val="fr-FR"/>
        </w:rPr>
        <w:t>États.</w:t>
      </w:r>
    </w:p>
    <w:p w14:paraId="592CA034" w14:textId="77777777" w:rsidR="00050CF5" w:rsidRPr="00DC2178" w:rsidRDefault="00050CF5" w:rsidP="00050CF5">
      <w:pPr>
        <w:pStyle w:val="H23G"/>
        <w:rPr>
          <w:bCs/>
          <w:lang w:val="fr-FR"/>
        </w:rPr>
      </w:pPr>
      <w:r>
        <w:rPr>
          <w:lang w:val="fr-FR"/>
        </w:rPr>
        <w:tab/>
      </w:r>
      <w:r>
        <w:rPr>
          <w:lang w:val="fr-FR"/>
        </w:rPr>
        <w:tab/>
      </w:r>
      <w:r>
        <w:rPr>
          <w:bCs/>
          <w:lang w:val="fr-FR"/>
        </w:rPr>
        <w:t>Droit à la protection de la vie privée</w:t>
      </w:r>
    </w:p>
    <w:p w14:paraId="200AC6D4" w14:textId="735446F7" w:rsidR="00050CF5" w:rsidRPr="00DC2178" w:rsidRDefault="00050CF5" w:rsidP="00050CF5">
      <w:pPr>
        <w:pStyle w:val="SingleTxtG"/>
        <w:rPr>
          <w:b/>
          <w:bCs/>
          <w:lang w:val="fr-FR"/>
        </w:rPr>
      </w:pPr>
      <w:r>
        <w:rPr>
          <w:lang w:val="fr-FR"/>
        </w:rPr>
        <w:t>21.</w:t>
      </w:r>
      <w:r>
        <w:rPr>
          <w:lang w:val="fr-FR"/>
        </w:rPr>
        <w:tab/>
      </w:r>
      <w:r>
        <w:rPr>
          <w:b/>
          <w:bCs/>
          <w:lang w:val="fr-FR"/>
        </w:rPr>
        <w:t xml:space="preserve">Tout en notant que la loi </w:t>
      </w:r>
      <w:r w:rsidR="00D46FD4" w:rsidRPr="00D46FD4">
        <w:rPr>
          <w:rFonts w:eastAsia="MS Mincho"/>
          <w:b/>
          <w:bCs/>
          <w:szCs w:val="22"/>
          <w:lang w:val="fr-FR"/>
        </w:rPr>
        <w:t>n</w:t>
      </w:r>
      <w:r w:rsidR="00D46FD4" w:rsidRPr="00D46FD4">
        <w:rPr>
          <w:rFonts w:eastAsia="MS Mincho"/>
          <w:b/>
          <w:bCs/>
          <w:szCs w:val="22"/>
          <w:vertAlign w:val="superscript"/>
          <w:lang w:val="fr-FR"/>
        </w:rPr>
        <w:t>o</w:t>
      </w:r>
      <w:r w:rsidR="00D46FD4">
        <w:rPr>
          <w:b/>
          <w:bCs/>
          <w:lang w:val="fr-FR"/>
        </w:rPr>
        <w:t> </w:t>
      </w:r>
      <w:r>
        <w:rPr>
          <w:b/>
          <w:bCs/>
          <w:lang w:val="fr-FR"/>
        </w:rPr>
        <w:t>2016-1321 du 7</w:t>
      </w:r>
      <w:r w:rsidR="00D46FD4">
        <w:rPr>
          <w:b/>
          <w:bCs/>
          <w:lang w:val="fr-FR"/>
        </w:rPr>
        <w:t> </w:t>
      </w:r>
      <w:r>
        <w:rPr>
          <w:b/>
          <w:bCs/>
          <w:lang w:val="fr-FR"/>
        </w:rPr>
        <w:t>octobre 2016 pour une République numérique consacre le droit des enfants à l</w:t>
      </w:r>
      <w:r>
        <w:rPr>
          <w:b/>
          <w:bCs/>
          <w:lang w:val="fr-FR"/>
        </w:rPr>
        <w:t>’</w:t>
      </w:r>
      <w:r>
        <w:rPr>
          <w:b/>
          <w:bCs/>
          <w:lang w:val="fr-FR"/>
        </w:rPr>
        <w:t>oubli numérique, le Comité recommande à l</w:t>
      </w:r>
      <w:r>
        <w:rPr>
          <w:b/>
          <w:bCs/>
          <w:lang w:val="fr-FR"/>
        </w:rPr>
        <w:t>’</w:t>
      </w:r>
      <w:r>
        <w:rPr>
          <w:b/>
          <w:bCs/>
          <w:lang w:val="fr-FR"/>
        </w:rPr>
        <w:t>État partie de sensibiliser le public, en particulier les enfants, à ce droit sur Internet et d</w:t>
      </w:r>
      <w:r>
        <w:rPr>
          <w:b/>
          <w:bCs/>
          <w:lang w:val="fr-FR"/>
        </w:rPr>
        <w:t>’</w:t>
      </w:r>
      <w:r>
        <w:rPr>
          <w:b/>
          <w:bCs/>
          <w:lang w:val="fr-FR"/>
        </w:rPr>
        <w:t>en contrôler le respect.</w:t>
      </w:r>
      <w:r>
        <w:rPr>
          <w:lang w:val="fr-FR"/>
        </w:rPr>
        <w:t xml:space="preserve"> </w:t>
      </w:r>
      <w:r>
        <w:rPr>
          <w:b/>
          <w:bCs/>
          <w:lang w:val="fr-FR"/>
        </w:rPr>
        <w:t>Il prend note de l</w:t>
      </w:r>
      <w:r>
        <w:rPr>
          <w:b/>
          <w:bCs/>
          <w:lang w:val="fr-FR"/>
        </w:rPr>
        <w:t>’</w:t>
      </w:r>
      <w:r>
        <w:rPr>
          <w:b/>
          <w:bCs/>
          <w:lang w:val="fr-FR"/>
        </w:rPr>
        <w:t>adoption de la</w:t>
      </w:r>
      <w:r>
        <w:rPr>
          <w:lang w:val="fr-FR"/>
        </w:rPr>
        <w:t xml:space="preserve"> </w:t>
      </w:r>
      <w:r>
        <w:rPr>
          <w:b/>
          <w:bCs/>
          <w:lang w:val="fr-FR"/>
        </w:rPr>
        <w:t xml:space="preserve">loi </w:t>
      </w:r>
      <w:r w:rsidR="00D46FD4" w:rsidRPr="00D46FD4">
        <w:rPr>
          <w:rFonts w:eastAsia="MS Mincho"/>
          <w:b/>
          <w:bCs/>
          <w:szCs w:val="22"/>
          <w:lang w:val="fr-FR"/>
        </w:rPr>
        <w:t>n</w:t>
      </w:r>
      <w:r w:rsidR="00D46FD4" w:rsidRPr="00D46FD4">
        <w:rPr>
          <w:rFonts w:eastAsia="MS Mincho"/>
          <w:b/>
          <w:bCs/>
          <w:szCs w:val="22"/>
          <w:vertAlign w:val="superscript"/>
          <w:lang w:val="fr-FR"/>
        </w:rPr>
        <w:t>o</w:t>
      </w:r>
      <w:r w:rsidR="00D46FD4">
        <w:rPr>
          <w:b/>
          <w:bCs/>
          <w:lang w:val="fr-FR"/>
        </w:rPr>
        <w:t> </w:t>
      </w:r>
      <w:r>
        <w:rPr>
          <w:b/>
          <w:bCs/>
          <w:lang w:val="fr-FR"/>
        </w:rPr>
        <w:t>2020-1266 du 19</w:t>
      </w:r>
      <w:r w:rsidR="00D46FD4">
        <w:rPr>
          <w:b/>
          <w:bCs/>
          <w:lang w:val="fr-FR"/>
        </w:rPr>
        <w:t> </w:t>
      </w:r>
      <w:r>
        <w:rPr>
          <w:b/>
          <w:bCs/>
          <w:lang w:val="fr-FR"/>
        </w:rPr>
        <w:t>octobre 2020 visant à encadrer l</w:t>
      </w:r>
      <w:r>
        <w:rPr>
          <w:b/>
          <w:bCs/>
          <w:lang w:val="fr-FR"/>
        </w:rPr>
        <w:t>’</w:t>
      </w:r>
      <w:r>
        <w:rPr>
          <w:b/>
          <w:bCs/>
          <w:lang w:val="fr-FR"/>
        </w:rPr>
        <w:t>exploitation commerciale de l</w:t>
      </w:r>
      <w:r>
        <w:rPr>
          <w:b/>
          <w:bCs/>
          <w:lang w:val="fr-FR"/>
        </w:rPr>
        <w:t>’</w:t>
      </w:r>
      <w:r>
        <w:rPr>
          <w:b/>
          <w:bCs/>
          <w:lang w:val="fr-FR"/>
        </w:rPr>
        <w:t>image d</w:t>
      </w:r>
      <w:r>
        <w:rPr>
          <w:b/>
          <w:bCs/>
          <w:lang w:val="fr-FR"/>
        </w:rPr>
        <w:t>’</w:t>
      </w:r>
      <w:r>
        <w:rPr>
          <w:b/>
          <w:bCs/>
          <w:lang w:val="fr-FR"/>
        </w:rPr>
        <w:t xml:space="preserve">enfants de moins de </w:t>
      </w:r>
      <w:r w:rsidR="004E1767">
        <w:rPr>
          <w:b/>
          <w:bCs/>
          <w:lang w:val="fr-FR"/>
        </w:rPr>
        <w:t>16 </w:t>
      </w:r>
      <w:r>
        <w:rPr>
          <w:b/>
          <w:bCs/>
          <w:lang w:val="fr-FR"/>
        </w:rPr>
        <w:t xml:space="preserve">ans sur les </w:t>
      </w:r>
      <w:proofErr w:type="spellStart"/>
      <w:r>
        <w:rPr>
          <w:b/>
          <w:bCs/>
          <w:lang w:val="fr-FR"/>
        </w:rPr>
        <w:t>plateformes</w:t>
      </w:r>
      <w:proofErr w:type="spellEnd"/>
      <w:r>
        <w:rPr>
          <w:b/>
          <w:bCs/>
          <w:lang w:val="fr-FR"/>
        </w:rPr>
        <w:t xml:space="preserve"> en ligne et recommande à l</w:t>
      </w:r>
      <w:r>
        <w:rPr>
          <w:b/>
          <w:bCs/>
          <w:lang w:val="fr-FR"/>
        </w:rPr>
        <w:t>’</w:t>
      </w:r>
      <w:r>
        <w:rPr>
          <w:b/>
          <w:bCs/>
          <w:lang w:val="fr-FR"/>
        </w:rPr>
        <w:t>État partie de renforcer l</w:t>
      </w:r>
      <w:r>
        <w:rPr>
          <w:b/>
          <w:bCs/>
          <w:lang w:val="fr-FR"/>
        </w:rPr>
        <w:t>’</w:t>
      </w:r>
      <w:r>
        <w:rPr>
          <w:b/>
          <w:bCs/>
          <w:lang w:val="fr-FR"/>
        </w:rPr>
        <w:t>application de cette loi et l</w:t>
      </w:r>
      <w:r>
        <w:rPr>
          <w:b/>
          <w:bCs/>
          <w:lang w:val="fr-FR"/>
        </w:rPr>
        <w:t>’</w:t>
      </w:r>
      <w:r>
        <w:rPr>
          <w:b/>
          <w:bCs/>
          <w:lang w:val="fr-FR"/>
        </w:rPr>
        <w:t>éducation numérique à l</w:t>
      </w:r>
      <w:r>
        <w:rPr>
          <w:b/>
          <w:bCs/>
          <w:lang w:val="fr-FR"/>
        </w:rPr>
        <w:t>’</w:t>
      </w:r>
      <w:r>
        <w:rPr>
          <w:b/>
          <w:bCs/>
          <w:lang w:val="fr-FR"/>
        </w:rPr>
        <w:t>école, en les intégrant aux programmes scolaires et en formant les enseignants à l</w:t>
      </w:r>
      <w:r>
        <w:rPr>
          <w:b/>
          <w:bCs/>
          <w:lang w:val="fr-FR"/>
        </w:rPr>
        <w:t>’</w:t>
      </w:r>
      <w:r>
        <w:rPr>
          <w:b/>
          <w:bCs/>
          <w:lang w:val="fr-FR"/>
        </w:rPr>
        <w:t>utilisation des nouvelles technologies.</w:t>
      </w:r>
      <w:r>
        <w:rPr>
          <w:lang w:val="fr-FR"/>
        </w:rPr>
        <w:t xml:space="preserve"> </w:t>
      </w:r>
      <w:r>
        <w:rPr>
          <w:b/>
          <w:bCs/>
          <w:lang w:val="fr-FR"/>
        </w:rPr>
        <w:t>Il lui recommande également de veiller à ce que l</w:t>
      </w:r>
      <w:r>
        <w:rPr>
          <w:b/>
          <w:bCs/>
          <w:lang w:val="fr-FR"/>
        </w:rPr>
        <w:t>’</w:t>
      </w:r>
      <w:r>
        <w:rPr>
          <w:b/>
          <w:bCs/>
          <w:lang w:val="fr-FR"/>
        </w:rPr>
        <w:t xml:space="preserve">application de la loi </w:t>
      </w:r>
      <w:r w:rsidR="00D46FD4" w:rsidRPr="00D46FD4">
        <w:rPr>
          <w:rFonts w:eastAsia="MS Mincho"/>
          <w:b/>
          <w:bCs/>
          <w:szCs w:val="22"/>
          <w:lang w:val="fr-FR"/>
        </w:rPr>
        <w:t>n</w:t>
      </w:r>
      <w:r w:rsidR="00D46FD4" w:rsidRPr="00D46FD4">
        <w:rPr>
          <w:rFonts w:eastAsia="MS Mincho"/>
          <w:b/>
          <w:bCs/>
          <w:szCs w:val="22"/>
          <w:vertAlign w:val="superscript"/>
          <w:lang w:val="fr-FR"/>
        </w:rPr>
        <w:t>o</w:t>
      </w:r>
      <w:r w:rsidR="00D46FD4">
        <w:rPr>
          <w:b/>
          <w:bCs/>
          <w:lang w:val="fr-FR"/>
        </w:rPr>
        <w:t> </w:t>
      </w:r>
      <w:r>
        <w:rPr>
          <w:b/>
          <w:bCs/>
          <w:lang w:val="fr-FR"/>
        </w:rPr>
        <w:t>2022-300 du 2</w:t>
      </w:r>
      <w:r w:rsidR="00D46FD4">
        <w:rPr>
          <w:b/>
          <w:bCs/>
          <w:lang w:val="fr-FR"/>
        </w:rPr>
        <w:t> </w:t>
      </w:r>
      <w:r>
        <w:rPr>
          <w:b/>
          <w:bCs/>
          <w:lang w:val="fr-FR"/>
        </w:rPr>
        <w:t>mars 2022 visant à renforcer le contrôle parental sur les moyens d</w:t>
      </w:r>
      <w:r>
        <w:rPr>
          <w:b/>
          <w:bCs/>
          <w:lang w:val="fr-FR"/>
        </w:rPr>
        <w:t>’</w:t>
      </w:r>
      <w:r>
        <w:rPr>
          <w:b/>
          <w:bCs/>
          <w:lang w:val="fr-FR"/>
        </w:rPr>
        <w:t>accès à Internet respecte totalement le droit des enfants à la protection de leur vie privée.</w:t>
      </w:r>
    </w:p>
    <w:p w14:paraId="587A87FC" w14:textId="77777777" w:rsidR="00050CF5" w:rsidRPr="00DC2178" w:rsidRDefault="00050CF5" w:rsidP="00050CF5">
      <w:pPr>
        <w:pStyle w:val="H23G"/>
        <w:rPr>
          <w:bCs/>
          <w:lang w:val="fr-FR"/>
        </w:rPr>
      </w:pPr>
      <w:r>
        <w:rPr>
          <w:lang w:val="fr-FR"/>
        </w:rPr>
        <w:tab/>
      </w:r>
      <w:r>
        <w:rPr>
          <w:lang w:val="fr-FR"/>
        </w:rPr>
        <w:tab/>
      </w:r>
      <w:r>
        <w:rPr>
          <w:bCs/>
          <w:lang w:val="fr-FR"/>
        </w:rPr>
        <w:t>Accès à une information appropriée</w:t>
      </w:r>
    </w:p>
    <w:p w14:paraId="6FBFA7A2" w14:textId="1B6D899C" w:rsidR="00050CF5" w:rsidRPr="00DC2178" w:rsidRDefault="00050CF5" w:rsidP="00050CF5">
      <w:pPr>
        <w:pStyle w:val="SingleTxtG"/>
        <w:rPr>
          <w:b/>
          <w:bCs/>
          <w:lang w:val="fr-FR"/>
        </w:rPr>
      </w:pPr>
      <w:r>
        <w:rPr>
          <w:lang w:val="fr-FR"/>
        </w:rPr>
        <w:t>22.</w:t>
      </w:r>
      <w:r>
        <w:rPr>
          <w:lang w:val="fr-FR"/>
        </w:rPr>
        <w:tab/>
      </w:r>
      <w:r>
        <w:rPr>
          <w:b/>
          <w:bCs/>
          <w:lang w:val="fr-FR"/>
        </w:rPr>
        <w:t>Le Comité prend note des informations communiquées par l</w:t>
      </w:r>
      <w:r>
        <w:rPr>
          <w:b/>
          <w:bCs/>
          <w:lang w:val="fr-FR"/>
        </w:rPr>
        <w:t>’</w:t>
      </w:r>
      <w:r>
        <w:rPr>
          <w:b/>
          <w:bCs/>
          <w:lang w:val="fr-FR"/>
        </w:rPr>
        <w:t>État partie sur la signature par le Gouvernement et les entreprises de radiodiffusion et de communication d</w:t>
      </w:r>
      <w:r>
        <w:rPr>
          <w:b/>
          <w:bCs/>
          <w:lang w:val="fr-FR"/>
        </w:rPr>
        <w:t>’</w:t>
      </w:r>
      <w:r>
        <w:rPr>
          <w:b/>
          <w:bCs/>
          <w:lang w:val="fr-FR"/>
        </w:rPr>
        <w:t>un protocole d</w:t>
      </w:r>
      <w:r>
        <w:rPr>
          <w:b/>
          <w:bCs/>
          <w:lang w:val="fr-FR"/>
        </w:rPr>
        <w:t>’</w:t>
      </w:r>
      <w:r>
        <w:rPr>
          <w:b/>
          <w:bCs/>
          <w:lang w:val="fr-FR"/>
        </w:rPr>
        <w:t>engagements sur le contrôle parental et recommande à l</w:t>
      </w:r>
      <w:r>
        <w:rPr>
          <w:b/>
          <w:bCs/>
          <w:lang w:val="fr-FR"/>
        </w:rPr>
        <w:t>’</w:t>
      </w:r>
      <w:r>
        <w:rPr>
          <w:b/>
          <w:bCs/>
          <w:lang w:val="fr-FR"/>
        </w:rPr>
        <w:t>État partie de renforcer l</w:t>
      </w:r>
      <w:r>
        <w:rPr>
          <w:b/>
          <w:bCs/>
          <w:lang w:val="fr-FR"/>
        </w:rPr>
        <w:t>’</w:t>
      </w:r>
      <w:r>
        <w:rPr>
          <w:b/>
          <w:bCs/>
          <w:lang w:val="fr-FR"/>
        </w:rPr>
        <w:t>application de l</w:t>
      </w:r>
      <w:r>
        <w:rPr>
          <w:b/>
          <w:bCs/>
          <w:lang w:val="fr-FR"/>
        </w:rPr>
        <w:t>’</w:t>
      </w:r>
      <w:r>
        <w:rPr>
          <w:b/>
          <w:bCs/>
          <w:lang w:val="fr-FR"/>
        </w:rPr>
        <w:t>article 227-24 du Code pénal, de sanctionner les sites Web qui donnent accès à des contenus pornographiques sous réserve d</w:t>
      </w:r>
      <w:r>
        <w:rPr>
          <w:b/>
          <w:bCs/>
          <w:lang w:val="fr-FR"/>
        </w:rPr>
        <w:t>’</w:t>
      </w:r>
      <w:r>
        <w:rPr>
          <w:b/>
          <w:bCs/>
          <w:lang w:val="fr-FR"/>
        </w:rPr>
        <w:t>une simple déclaration d</w:t>
      </w:r>
      <w:r>
        <w:rPr>
          <w:b/>
          <w:bCs/>
          <w:lang w:val="fr-FR"/>
        </w:rPr>
        <w:t>’</w:t>
      </w:r>
      <w:r>
        <w:rPr>
          <w:b/>
          <w:bCs/>
          <w:lang w:val="fr-FR"/>
        </w:rPr>
        <w:t>âge et de bloquer les sites Web et les réseaux qui donnent accès à des contenus pornographiques sans vérification de l</w:t>
      </w:r>
      <w:r>
        <w:rPr>
          <w:b/>
          <w:bCs/>
          <w:lang w:val="fr-FR"/>
        </w:rPr>
        <w:t>’</w:t>
      </w:r>
      <w:r>
        <w:rPr>
          <w:b/>
          <w:bCs/>
          <w:lang w:val="fr-FR"/>
        </w:rPr>
        <w:t>âge des utilisateurs.</w:t>
      </w:r>
      <w:r>
        <w:rPr>
          <w:lang w:val="fr-FR"/>
        </w:rPr>
        <w:t xml:space="preserve"> </w:t>
      </w:r>
      <w:r>
        <w:rPr>
          <w:b/>
          <w:bCs/>
          <w:lang w:val="fr-FR"/>
        </w:rPr>
        <w:t>Il lui recommande également de veiller à la disponibilité et à l</w:t>
      </w:r>
      <w:r>
        <w:rPr>
          <w:b/>
          <w:bCs/>
          <w:lang w:val="fr-FR"/>
        </w:rPr>
        <w:t>’</w:t>
      </w:r>
      <w:r>
        <w:rPr>
          <w:b/>
          <w:bCs/>
          <w:lang w:val="fr-FR"/>
        </w:rPr>
        <w:t>accessibilité d</w:t>
      </w:r>
      <w:r>
        <w:rPr>
          <w:b/>
          <w:bCs/>
          <w:lang w:val="fr-FR"/>
        </w:rPr>
        <w:t>’</w:t>
      </w:r>
      <w:r>
        <w:rPr>
          <w:b/>
          <w:bCs/>
          <w:lang w:val="fr-FR"/>
        </w:rPr>
        <w:t>informations adéquates et adaptées à l</w:t>
      </w:r>
      <w:r>
        <w:rPr>
          <w:b/>
          <w:bCs/>
          <w:lang w:val="fr-FR"/>
        </w:rPr>
        <w:t>’</w:t>
      </w:r>
      <w:r>
        <w:rPr>
          <w:b/>
          <w:bCs/>
          <w:lang w:val="fr-FR"/>
        </w:rPr>
        <w:t>âge des enfants sur les questions relatives aux droits de l</w:t>
      </w:r>
      <w:r>
        <w:rPr>
          <w:b/>
          <w:bCs/>
          <w:lang w:val="fr-FR"/>
        </w:rPr>
        <w:t>’</w:t>
      </w:r>
      <w:r>
        <w:rPr>
          <w:b/>
          <w:bCs/>
          <w:lang w:val="fr-FR"/>
        </w:rPr>
        <w:t>enfant et sur les services existants.</w:t>
      </w:r>
    </w:p>
    <w:p w14:paraId="268EF0EF" w14:textId="51871D12" w:rsidR="00050CF5" w:rsidRPr="00DC2178" w:rsidRDefault="00D46FD4" w:rsidP="00050CF5">
      <w:pPr>
        <w:pStyle w:val="H1G"/>
        <w:rPr>
          <w:bCs/>
          <w:lang w:val="fr-FR"/>
        </w:rPr>
      </w:pPr>
      <w:r>
        <w:rPr>
          <w:bCs/>
          <w:lang w:val="fr-FR"/>
        </w:rPr>
        <w:tab/>
      </w:r>
      <w:r w:rsidR="00050CF5">
        <w:rPr>
          <w:bCs/>
          <w:lang w:val="fr-FR"/>
        </w:rPr>
        <w:t>D.</w:t>
      </w:r>
      <w:r w:rsidR="00050CF5">
        <w:rPr>
          <w:lang w:val="fr-FR"/>
        </w:rPr>
        <w:tab/>
      </w:r>
      <w:r w:rsidR="00050CF5">
        <w:rPr>
          <w:bCs/>
          <w:lang w:val="fr-FR"/>
        </w:rPr>
        <w:t>Violence à l</w:t>
      </w:r>
      <w:r w:rsidR="00050CF5">
        <w:rPr>
          <w:bCs/>
          <w:lang w:val="fr-FR"/>
        </w:rPr>
        <w:t>’</w:t>
      </w:r>
      <w:r w:rsidR="00050CF5">
        <w:rPr>
          <w:bCs/>
          <w:lang w:val="fr-FR"/>
        </w:rPr>
        <w:t xml:space="preserve">égard des enfants (art. 19, 24 (par. 3), 28 (par. 2), 34, </w:t>
      </w:r>
      <w:r>
        <w:rPr>
          <w:bCs/>
          <w:lang w:val="fr-FR"/>
        </w:rPr>
        <w:br/>
      </w:r>
      <w:r w:rsidR="00050CF5">
        <w:rPr>
          <w:bCs/>
          <w:lang w:val="fr-FR"/>
        </w:rPr>
        <w:t>37 (al. a)) et 39)</w:t>
      </w:r>
    </w:p>
    <w:p w14:paraId="54BDB6B2" w14:textId="77777777" w:rsidR="00050CF5" w:rsidRPr="00DC2178" w:rsidRDefault="00050CF5" w:rsidP="00050CF5">
      <w:pPr>
        <w:pStyle w:val="H23G"/>
        <w:rPr>
          <w:rFonts w:eastAsia="Malgun Gothic"/>
          <w:bCs/>
          <w:lang w:val="fr-FR"/>
        </w:rPr>
      </w:pPr>
      <w:r>
        <w:rPr>
          <w:lang w:val="fr-FR"/>
        </w:rPr>
        <w:tab/>
      </w:r>
      <w:r>
        <w:rPr>
          <w:lang w:val="fr-FR"/>
        </w:rPr>
        <w:tab/>
      </w:r>
      <w:r>
        <w:rPr>
          <w:bCs/>
          <w:lang w:val="fr-FR"/>
        </w:rPr>
        <w:t>Peines ou traitements cruels ou dégradants</w:t>
      </w:r>
    </w:p>
    <w:p w14:paraId="0D16BB82" w14:textId="732FA80F" w:rsidR="00050CF5" w:rsidRPr="00DC2178" w:rsidRDefault="00050CF5" w:rsidP="00050CF5">
      <w:pPr>
        <w:pStyle w:val="SingleTxtG"/>
        <w:rPr>
          <w:b/>
          <w:bCs/>
          <w:lang w:val="fr-FR"/>
        </w:rPr>
      </w:pPr>
      <w:r>
        <w:rPr>
          <w:lang w:val="fr-FR"/>
        </w:rPr>
        <w:t>23.</w:t>
      </w:r>
      <w:r>
        <w:rPr>
          <w:lang w:val="fr-FR"/>
        </w:rPr>
        <w:tab/>
      </w:r>
      <w:r>
        <w:rPr>
          <w:b/>
          <w:bCs/>
          <w:lang w:val="fr-FR"/>
        </w:rPr>
        <w:t xml:space="preserve">Renvoyant à son observation générale </w:t>
      </w:r>
      <w:r w:rsidR="00D46FD4" w:rsidRPr="00D46FD4">
        <w:rPr>
          <w:rFonts w:eastAsia="MS Mincho"/>
          <w:b/>
          <w:bCs/>
          <w:szCs w:val="22"/>
          <w:lang w:val="fr-FR"/>
        </w:rPr>
        <w:t>n</w:t>
      </w:r>
      <w:r w:rsidR="00D46FD4" w:rsidRPr="00D46FD4">
        <w:rPr>
          <w:rFonts w:eastAsia="MS Mincho"/>
          <w:b/>
          <w:bCs/>
          <w:szCs w:val="22"/>
          <w:vertAlign w:val="superscript"/>
          <w:lang w:val="fr-FR"/>
        </w:rPr>
        <w:t>o</w:t>
      </w:r>
      <w:r w:rsidR="00D46FD4">
        <w:rPr>
          <w:b/>
          <w:bCs/>
          <w:lang w:val="fr-FR"/>
        </w:rPr>
        <w:t> </w:t>
      </w:r>
      <w:r>
        <w:rPr>
          <w:b/>
          <w:bCs/>
          <w:lang w:val="fr-FR"/>
        </w:rPr>
        <w:t>13 (2011) sur le droit de l</w:t>
      </w:r>
      <w:r>
        <w:rPr>
          <w:b/>
          <w:bCs/>
          <w:lang w:val="fr-FR"/>
        </w:rPr>
        <w:t>’</w:t>
      </w:r>
      <w:r>
        <w:rPr>
          <w:b/>
          <w:bCs/>
          <w:lang w:val="fr-FR"/>
        </w:rPr>
        <w:t>enfant d</w:t>
      </w:r>
      <w:r>
        <w:rPr>
          <w:b/>
          <w:bCs/>
          <w:lang w:val="fr-FR"/>
        </w:rPr>
        <w:t>’</w:t>
      </w:r>
      <w:r>
        <w:rPr>
          <w:b/>
          <w:bCs/>
          <w:lang w:val="fr-FR"/>
        </w:rPr>
        <w:t>être protégé contre toutes les formes de violence et rappelant la cible 16.2 des objectifs de développement durable, le Comité demande instamment à l</w:t>
      </w:r>
      <w:r>
        <w:rPr>
          <w:b/>
          <w:bCs/>
          <w:lang w:val="fr-FR"/>
        </w:rPr>
        <w:t>’</w:t>
      </w:r>
      <w:r>
        <w:rPr>
          <w:b/>
          <w:bCs/>
          <w:lang w:val="fr-FR"/>
        </w:rPr>
        <w:t>État partie :</w:t>
      </w:r>
    </w:p>
    <w:p w14:paraId="3C2432D5" w14:textId="522A3EAB" w:rsidR="00050CF5" w:rsidRPr="00DC2178" w:rsidRDefault="00050CF5" w:rsidP="00050CF5">
      <w:pPr>
        <w:pStyle w:val="SingleTxtG"/>
        <w:ind w:firstLine="567"/>
        <w:rPr>
          <w:b/>
          <w:bCs/>
          <w:lang w:val="fr-FR"/>
        </w:rPr>
      </w:pPr>
      <w:r w:rsidRPr="00D46FD4">
        <w:rPr>
          <w:b/>
          <w:bCs/>
          <w:lang w:val="fr-FR"/>
        </w:rPr>
        <w:t>a)</w:t>
      </w:r>
      <w:r>
        <w:rPr>
          <w:lang w:val="fr-FR"/>
        </w:rPr>
        <w:tab/>
      </w:r>
      <w:r>
        <w:rPr>
          <w:b/>
          <w:bCs/>
          <w:lang w:val="fr-FR"/>
        </w:rPr>
        <w:t>De poursuivre ses efforts pour mettre fin aux violences à l</w:t>
      </w:r>
      <w:r>
        <w:rPr>
          <w:b/>
          <w:bCs/>
          <w:lang w:val="fr-FR"/>
        </w:rPr>
        <w:t>’</w:t>
      </w:r>
      <w:r>
        <w:rPr>
          <w:b/>
          <w:bCs/>
          <w:lang w:val="fr-FR"/>
        </w:rPr>
        <w:t xml:space="preserve">égard des enfants ayant un handicap intellectuel ou </w:t>
      </w:r>
      <w:proofErr w:type="spellStart"/>
      <w:r>
        <w:rPr>
          <w:b/>
          <w:bCs/>
          <w:lang w:val="fr-FR"/>
        </w:rPr>
        <w:t>psychosocial</w:t>
      </w:r>
      <w:proofErr w:type="spellEnd"/>
      <w:r>
        <w:rPr>
          <w:b/>
          <w:bCs/>
          <w:lang w:val="fr-FR"/>
        </w:rPr>
        <w:t>, de mettre en place un système de contrôle des services psychiatriques fournis aux enfants handicapés et d</w:t>
      </w:r>
      <w:r>
        <w:rPr>
          <w:b/>
          <w:bCs/>
          <w:lang w:val="fr-FR"/>
        </w:rPr>
        <w:t>’</w:t>
      </w:r>
      <w:r>
        <w:rPr>
          <w:b/>
          <w:bCs/>
          <w:lang w:val="fr-FR"/>
        </w:rPr>
        <w:t>intégrer cette question dans la prochaine stratégie nationale pour l</w:t>
      </w:r>
      <w:r>
        <w:rPr>
          <w:b/>
          <w:bCs/>
          <w:lang w:val="fr-FR"/>
        </w:rPr>
        <w:t>’</w:t>
      </w:r>
      <w:r>
        <w:rPr>
          <w:b/>
          <w:bCs/>
          <w:lang w:val="fr-FR"/>
        </w:rPr>
        <w:t>autisme, la stratégie précédente s</w:t>
      </w:r>
      <w:r>
        <w:rPr>
          <w:b/>
          <w:bCs/>
          <w:lang w:val="fr-FR"/>
        </w:rPr>
        <w:t>’</w:t>
      </w:r>
      <w:r>
        <w:rPr>
          <w:b/>
          <w:bCs/>
          <w:lang w:val="fr-FR"/>
        </w:rPr>
        <w:t>étant achevée en 2022 ;</w:t>
      </w:r>
    </w:p>
    <w:p w14:paraId="53BEEF97" w14:textId="689DB45D" w:rsidR="00050CF5" w:rsidRPr="00DC2178" w:rsidRDefault="00050CF5" w:rsidP="00050CF5">
      <w:pPr>
        <w:pStyle w:val="SingleTxtG"/>
        <w:ind w:firstLine="567"/>
        <w:rPr>
          <w:b/>
          <w:bCs/>
          <w:lang w:val="fr-FR"/>
        </w:rPr>
      </w:pPr>
      <w:r w:rsidRPr="00D46FD4">
        <w:rPr>
          <w:b/>
          <w:bCs/>
          <w:lang w:val="fr-FR"/>
        </w:rPr>
        <w:t>b)</w:t>
      </w:r>
      <w:r>
        <w:rPr>
          <w:lang w:val="fr-FR"/>
        </w:rPr>
        <w:tab/>
      </w:r>
      <w:r>
        <w:rPr>
          <w:b/>
          <w:bCs/>
          <w:lang w:val="fr-FR"/>
        </w:rPr>
        <w:t>De renforcer les mesures visant à faire en sorte que les enfants non accompagnés en transit, en particulier dans le département du Pas-de-Calais, ne vivent pas dans des conditions cruelles ou dégradantes, que leurs abris ne soient pas détruits, que la police ne fasse pas un usage disproportionné de la force contre eux ou qu</w:t>
      </w:r>
      <w:r>
        <w:rPr>
          <w:b/>
          <w:bCs/>
          <w:lang w:val="fr-FR"/>
        </w:rPr>
        <w:t>’</w:t>
      </w:r>
      <w:r>
        <w:rPr>
          <w:b/>
          <w:bCs/>
          <w:lang w:val="fr-FR"/>
        </w:rPr>
        <w:t>ils ne pâtissent pas d</w:t>
      </w:r>
      <w:r>
        <w:rPr>
          <w:b/>
          <w:bCs/>
          <w:lang w:val="fr-FR"/>
        </w:rPr>
        <w:t>’</w:t>
      </w:r>
      <w:r>
        <w:rPr>
          <w:b/>
          <w:bCs/>
          <w:lang w:val="fr-FR"/>
        </w:rPr>
        <w:t>une absence de mesures de protection.</w:t>
      </w:r>
    </w:p>
    <w:p w14:paraId="5EFA685E" w14:textId="77777777" w:rsidR="00050CF5" w:rsidRPr="00DC2178" w:rsidRDefault="00050CF5" w:rsidP="00050CF5">
      <w:pPr>
        <w:pStyle w:val="H23G"/>
        <w:rPr>
          <w:rFonts w:eastAsia="Malgun Gothic"/>
          <w:bCs/>
          <w:lang w:val="fr-FR"/>
        </w:rPr>
      </w:pPr>
      <w:r>
        <w:rPr>
          <w:lang w:val="fr-FR"/>
        </w:rPr>
        <w:tab/>
      </w:r>
      <w:r>
        <w:rPr>
          <w:lang w:val="fr-FR"/>
        </w:rPr>
        <w:tab/>
      </w:r>
      <w:r>
        <w:rPr>
          <w:bCs/>
          <w:lang w:val="fr-FR"/>
        </w:rPr>
        <w:t>Châtiments corporels</w:t>
      </w:r>
    </w:p>
    <w:p w14:paraId="4782C94C" w14:textId="66AEAC75" w:rsidR="00050CF5" w:rsidRPr="00DC2178" w:rsidRDefault="00050CF5" w:rsidP="00050CF5">
      <w:pPr>
        <w:pStyle w:val="SingleTxtG"/>
        <w:rPr>
          <w:b/>
          <w:bCs/>
          <w:lang w:val="fr-FR"/>
        </w:rPr>
      </w:pPr>
      <w:r>
        <w:rPr>
          <w:lang w:val="fr-FR"/>
        </w:rPr>
        <w:t>24.</w:t>
      </w:r>
      <w:r>
        <w:rPr>
          <w:lang w:val="fr-FR"/>
        </w:rPr>
        <w:tab/>
      </w:r>
      <w:r>
        <w:rPr>
          <w:b/>
          <w:bCs/>
          <w:lang w:val="fr-FR"/>
        </w:rPr>
        <w:t>S</w:t>
      </w:r>
      <w:r>
        <w:rPr>
          <w:b/>
          <w:bCs/>
          <w:lang w:val="fr-FR"/>
        </w:rPr>
        <w:t>’</w:t>
      </w:r>
      <w:r>
        <w:rPr>
          <w:b/>
          <w:bCs/>
          <w:lang w:val="fr-FR"/>
        </w:rPr>
        <w:t>il prend note avec satisfaction de l</w:t>
      </w:r>
      <w:r>
        <w:rPr>
          <w:b/>
          <w:bCs/>
          <w:lang w:val="fr-FR"/>
        </w:rPr>
        <w:t>’</w:t>
      </w:r>
      <w:r>
        <w:rPr>
          <w:b/>
          <w:bCs/>
          <w:lang w:val="fr-FR"/>
        </w:rPr>
        <w:t xml:space="preserve">adoption de la loi </w:t>
      </w:r>
      <w:r w:rsidR="00D46FD4" w:rsidRPr="00D46FD4">
        <w:rPr>
          <w:rFonts w:eastAsia="MS Mincho"/>
          <w:b/>
          <w:bCs/>
          <w:szCs w:val="22"/>
          <w:lang w:val="fr-FR"/>
        </w:rPr>
        <w:t>n</w:t>
      </w:r>
      <w:r w:rsidR="00D46FD4" w:rsidRPr="00D46FD4">
        <w:rPr>
          <w:rFonts w:eastAsia="MS Mincho"/>
          <w:b/>
          <w:bCs/>
          <w:szCs w:val="22"/>
          <w:vertAlign w:val="superscript"/>
          <w:lang w:val="fr-FR"/>
        </w:rPr>
        <w:t>o</w:t>
      </w:r>
      <w:r w:rsidR="00D46FD4">
        <w:rPr>
          <w:b/>
          <w:bCs/>
          <w:lang w:val="fr-FR"/>
        </w:rPr>
        <w:t> </w:t>
      </w:r>
      <w:r>
        <w:rPr>
          <w:b/>
          <w:bCs/>
          <w:lang w:val="fr-FR"/>
        </w:rPr>
        <w:t>2019-721 du 10</w:t>
      </w:r>
      <w:r w:rsidR="00D46FD4">
        <w:rPr>
          <w:b/>
          <w:bCs/>
          <w:lang w:val="fr-FR"/>
        </w:rPr>
        <w:t> </w:t>
      </w:r>
      <w:r>
        <w:rPr>
          <w:b/>
          <w:bCs/>
          <w:lang w:val="fr-FR"/>
        </w:rPr>
        <w:t>juillet 2019, qui interdit les violences éducatives ordinaires et modifie l</w:t>
      </w:r>
      <w:r>
        <w:rPr>
          <w:b/>
          <w:bCs/>
          <w:lang w:val="fr-FR"/>
        </w:rPr>
        <w:t>’</w:t>
      </w:r>
      <w:r>
        <w:rPr>
          <w:b/>
          <w:bCs/>
          <w:lang w:val="fr-FR"/>
        </w:rPr>
        <w:t xml:space="preserve">article 371-1 du Code </w:t>
      </w:r>
      <w:r>
        <w:rPr>
          <w:b/>
          <w:bCs/>
          <w:lang w:val="fr-FR"/>
        </w:rPr>
        <w:lastRenderedPageBreak/>
        <w:t>civil de manière qu</w:t>
      </w:r>
      <w:r>
        <w:rPr>
          <w:b/>
          <w:bCs/>
          <w:lang w:val="fr-FR"/>
        </w:rPr>
        <w:t>’</w:t>
      </w:r>
      <w:r>
        <w:rPr>
          <w:b/>
          <w:bCs/>
          <w:lang w:val="fr-FR"/>
        </w:rPr>
        <w:t>il dispose que l</w:t>
      </w:r>
      <w:r>
        <w:rPr>
          <w:b/>
          <w:bCs/>
          <w:lang w:val="fr-FR"/>
        </w:rPr>
        <w:t>’</w:t>
      </w:r>
      <w:r>
        <w:rPr>
          <w:b/>
          <w:bCs/>
          <w:lang w:val="fr-FR"/>
        </w:rPr>
        <w:t>autorité parentale doit s</w:t>
      </w:r>
      <w:r>
        <w:rPr>
          <w:b/>
          <w:bCs/>
          <w:lang w:val="fr-FR"/>
        </w:rPr>
        <w:t>’</w:t>
      </w:r>
      <w:r>
        <w:rPr>
          <w:b/>
          <w:bCs/>
          <w:lang w:val="fr-FR"/>
        </w:rPr>
        <w:t>exercer sans violences physiques ou psychologiques, le Comité recommande à l</w:t>
      </w:r>
      <w:r>
        <w:rPr>
          <w:b/>
          <w:bCs/>
          <w:lang w:val="fr-FR"/>
        </w:rPr>
        <w:t>’</w:t>
      </w:r>
      <w:r>
        <w:rPr>
          <w:b/>
          <w:bCs/>
          <w:lang w:val="fr-FR"/>
        </w:rPr>
        <w:t>État partie d</w:t>
      </w:r>
      <w:r>
        <w:rPr>
          <w:b/>
          <w:bCs/>
          <w:lang w:val="fr-FR"/>
        </w:rPr>
        <w:t>’</w:t>
      </w:r>
      <w:r>
        <w:rPr>
          <w:b/>
          <w:bCs/>
          <w:lang w:val="fr-FR"/>
        </w:rPr>
        <w:t>étendre l</w:t>
      </w:r>
      <w:r>
        <w:rPr>
          <w:b/>
          <w:bCs/>
          <w:lang w:val="fr-FR"/>
        </w:rPr>
        <w:t>’</w:t>
      </w:r>
      <w:r>
        <w:rPr>
          <w:b/>
          <w:bCs/>
          <w:lang w:val="fr-FR"/>
        </w:rPr>
        <w:t>interdiction de ces violences à ses territoires d</w:t>
      </w:r>
      <w:r>
        <w:rPr>
          <w:b/>
          <w:bCs/>
          <w:lang w:val="fr-FR"/>
        </w:rPr>
        <w:t>’</w:t>
      </w:r>
      <w:r>
        <w:rPr>
          <w:b/>
          <w:bCs/>
          <w:lang w:val="fr-FR"/>
        </w:rPr>
        <w:t>outre-mer, en particulier Saint</w:t>
      </w:r>
      <w:r w:rsidR="00D46FD4">
        <w:rPr>
          <w:b/>
          <w:bCs/>
          <w:lang w:val="fr-FR"/>
        </w:rPr>
        <w:noBreakHyphen/>
      </w:r>
      <w:r>
        <w:rPr>
          <w:b/>
          <w:bCs/>
          <w:lang w:val="fr-FR"/>
        </w:rPr>
        <w:t>Pierre</w:t>
      </w:r>
      <w:r w:rsidR="00D46FD4">
        <w:rPr>
          <w:b/>
          <w:bCs/>
          <w:lang w:val="fr-FR"/>
        </w:rPr>
        <w:noBreakHyphen/>
      </w:r>
      <w:r>
        <w:rPr>
          <w:b/>
          <w:bCs/>
          <w:lang w:val="fr-FR"/>
        </w:rPr>
        <w:t>et-Miquelon.</w:t>
      </w:r>
      <w:r>
        <w:rPr>
          <w:lang w:val="fr-FR"/>
        </w:rPr>
        <w:t xml:space="preserve"> </w:t>
      </w:r>
      <w:r>
        <w:rPr>
          <w:b/>
          <w:bCs/>
          <w:lang w:val="fr-FR"/>
        </w:rPr>
        <w:t>Il lui recommande également d</w:t>
      </w:r>
      <w:r>
        <w:rPr>
          <w:b/>
          <w:bCs/>
          <w:lang w:val="fr-FR"/>
        </w:rPr>
        <w:t>’</w:t>
      </w:r>
      <w:r>
        <w:rPr>
          <w:b/>
          <w:bCs/>
          <w:lang w:val="fr-FR"/>
        </w:rPr>
        <w:t>appliquer l</w:t>
      </w:r>
      <w:r>
        <w:rPr>
          <w:b/>
          <w:bCs/>
          <w:lang w:val="fr-FR"/>
        </w:rPr>
        <w:t>’</w:t>
      </w:r>
      <w:r>
        <w:rPr>
          <w:b/>
          <w:bCs/>
          <w:lang w:val="fr-FR"/>
        </w:rPr>
        <w:t>interdiction dans tous les contextes, notamment à la maison et à l</w:t>
      </w:r>
      <w:r>
        <w:rPr>
          <w:b/>
          <w:bCs/>
          <w:lang w:val="fr-FR"/>
        </w:rPr>
        <w:t>’</w:t>
      </w:r>
      <w:r>
        <w:rPr>
          <w:b/>
          <w:bCs/>
          <w:lang w:val="fr-FR"/>
        </w:rPr>
        <w:t>école, et de promouvoir des formes positives, participatives et non violentes d</w:t>
      </w:r>
      <w:r>
        <w:rPr>
          <w:b/>
          <w:bCs/>
          <w:lang w:val="fr-FR"/>
        </w:rPr>
        <w:t>’</w:t>
      </w:r>
      <w:r>
        <w:rPr>
          <w:b/>
          <w:bCs/>
          <w:lang w:val="fr-FR"/>
        </w:rPr>
        <w:t>éducation et de discipline.</w:t>
      </w:r>
    </w:p>
    <w:p w14:paraId="7F7138B4" w14:textId="77777777" w:rsidR="00050CF5" w:rsidRPr="00DC2178" w:rsidRDefault="00050CF5" w:rsidP="00050CF5">
      <w:pPr>
        <w:pStyle w:val="H23G"/>
        <w:rPr>
          <w:lang w:val="fr-FR"/>
        </w:rPr>
      </w:pPr>
      <w:r>
        <w:rPr>
          <w:lang w:val="fr-FR"/>
        </w:rPr>
        <w:tab/>
      </w:r>
      <w:r>
        <w:rPr>
          <w:lang w:val="fr-FR"/>
        </w:rPr>
        <w:tab/>
      </w:r>
      <w:r>
        <w:rPr>
          <w:bCs/>
          <w:lang w:val="fr-FR"/>
        </w:rPr>
        <w:t>Maltraitance et négligence</w:t>
      </w:r>
    </w:p>
    <w:p w14:paraId="35995843" w14:textId="63659E62" w:rsidR="00050CF5" w:rsidRPr="00DC2178" w:rsidRDefault="00050CF5" w:rsidP="00050CF5">
      <w:pPr>
        <w:pStyle w:val="SingleTxtG"/>
        <w:rPr>
          <w:lang w:val="fr-FR"/>
        </w:rPr>
      </w:pPr>
      <w:r>
        <w:rPr>
          <w:lang w:val="fr-FR"/>
        </w:rPr>
        <w:t>25.</w:t>
      </w:r>
      <w:r>
        <w:rPr>
          <w:lang w:val="fr-FR"/>
        </w:rPr>
        <w:tab/>
        <w:t>Le Comité prend note du Plan de lutte contre les violences faites aux enfants (2020</w:t>
      </w:r>
      <w:r w:rsidR="00D46FD4">
        <w:rPr>
          <w:lang w:val="fr-FR"/>
        </w:rPr>
        <w:noBreakHyphen/>
      </w:r>
      <w:r>
        <w:rPr>
          <w:lang w:val="fr-FR"/>
        </w:rPr>
        <w:t>2022), mais regrette que ce plan, tout comme les précédents, n</w:t>
      </w:r>
      <w:r>
        <w:rPr>
          <w:lang w:val="fr-FR"/>
        </w:rPr>
        <w:t>’</w:t>
      </w:r>
      <w:r>
        <w:rPr>
          <w:lang w:val="fr-FR"/>
        </w:rPr>
        <w:t>ait pas fait l</w:t>
      </w:r>
      <w:r>
        <w:rPr>
          <w:lang w:val="fr-FR"/>
        </w:rPr>
        <w:t>’</w:t>
      </w:r>
      <w:r>
        <w:rPr>
          <w:lang w:val="fr-FR"/>
        </w:rPr>
        <w:t>objet d</w:t>
      </w:r>
      <w:r>
        <w:rPr>
          <w:lang w:val="fr-FR"/>
        </w:rPr>
        <w:t>’</w:t>
      </w:r>
      <w:r>
        <w:rPr>
          <w:lang w:val="fr-FR"/>
        </w:rPr>
        <w:t>une évaluation fondée sur des données et des recherches complémentaires sur la violence intrafamiliale à l</w:t>
      </w:r>
      <w:r>
        <w:rPr>
          <w:lang w:val="fr-FR"/>
        </w:rPr>
        <w:t>’</w:t>
      </w:r>
      <w:r>
        <w:rPr>
          <w:lang w:val="fr-FR"/>
        </w:rPr>
        <w:t>égard des enfants. Il note avec une vive préoccupation que la violence intrafamiliale à l</w:t>
      </w:r>
      <w:r>
        <w:rPr>
          <w:lang w:val="fr-FR"/>
        </w:rPr>
        <w:t>’</w:t>
      </w:r>
      <w:r>
        <w:rPr>
          <w:lang w:val="fr-FR"/>
        </w:rPr>
        <w:t>égard des enfants, y compris les jeunes enfants, aurait augmenté pendant le confinement mis en place face à la pandémie de maladie à coronavirus (COVID-19) et que les mesures prises pour prévenir les violences de ce type ont été tardives et inefficaces, en raison d</w:t>
      </w:r>
      <w:r>
        <w:rPr>
          <w:lang w:val="fr-FR"/>
        </w:rPr>
        <w:t>’</w:t>
      </w:r>
      <w:r>
        <w:rPr>
          <w:lang w:val="fr-FR"/>
        </w:rPr>
        <w:t>un manque de coordination et de communication entre les organismes compétents.</w:t>
      </w:r>
    </w:p>
    <w:p w14:paraId="56DBDA61" w14:textId="21BB83C2" w:rsidR="00050CF5" w:rsidRPr="00691D1A" w:rsidRDefault="00050CF5" w:rsidP="00050CF5">
      <w:pPr>
        <w:pStyle w:val="SingleTxtG"/>
        <w:rPr>
          <w:b/>
          <w:bCs/>
          <w:lang w:val="fr-FR"/>
        </w:rPr>
      </w:pPr>
      <w:r w:rsidRPr="00691D1A">
        <w:rPr>
          <w:lang w:val="fr-FR"/>
        </w:rPr>
        <w:t>26.</w:t>
      </w:r>
      <w:r w:rsidRPr="00691D1A">
        <w:rPr>
          <w:lang w:val="fr-FR"/>
        </w:rPr>
        <w:tab/>
      </w:r>
      <w:r w:rsidRPr="00691D1A">
        <w:rPr>
          <w:b/>
          <w:bCs/>
          <w:lang w:val="fr-FR"/>
        </w:rPr>
        <w:t xml:space="preserve">Renvoyant à son observation générale </w:t>
      </w:r>
      <w:r w:rsidR="00D46FD4" w:rsidRPr="00691D1A">
        <w:rPr>
          <w:rFonts w:eastAsia="MS Mincho"/>
          <w:b/>
          <w:bCs/>
          <w:szCs w:val="22"/>
          <w:lang w:val="fr-FR"/>
        </w:rPr>
        <w:t>n</w:t>
      </w:r>
      <w:r w:rsidR="00D46FD4" w:rsidRPr="00691D1A">
        <w:rPr>
          <w:rFonts w:eastAsia="MS Mincho"/>
          <w:b/>
          <w:bCs/>
          <w:szCs w:val="22"/>
          <w:vertAlign w:val="superscript"/>
          <w:lang w:val="fr-FR"/>
        </w:rPr>
        <w:t>o</w:t>
      </w:r>
      <w:r w:rsidR="00D46FD4" w:rsidRPr="00691D1A">
        <w:rPr>
          <w:b/>
          <w:bCs/>
          <w:lang w:val="fr-FR"/>
        </w:rPr>
        <w:t> </w:t>
      </w:r>
      <w:r w:rsidRPr="00691D1A">
        <w:rPr>
          <w:b/>
          <w:bCs/>
          <w:lang w:val="fr-FR"/>
        </w:rPr>
        <w:t>13 (2011) sur le droit de l</w:t>
      </w:r>
      <w:r w:rsidRPr="00691D1A">
        <w:rPr>
          <w:b/>
          <w:bCs/>
          <w:lang w:val="fr-FR"/>
        </w:rPr>
        <w:t>’</w:t>
      </w:r>
      <w:r w:rsidRPr="00691D1A">
        <w:rPr>
          <w:b/>
          <w:bCs/>
          <w:lang w:val="fr-FR"/>
        </w:rPr>
        <w:t>enfant d</w:t>
      </w:r>
      <w:r w:rsidRPr="00691D1A">
        <w:rPr>
          <w:b/>
          <w:bCs/>
          <w:lang w:val="fr-FR"/>
        </w:rPr>
        <w:t>’</w:t>
      </w:r>
      <w:r w:rsidRPr="00691D1A">
        <w:rPr>
          <w:b/>
          <w:bCs/>
          <w:lang w:val="fr-FR"/>
        </w:rPr>
        <w:t>être protégé contre toutes les formes de violence et rappelant la cible 16.2 des objectifs de développement durable, le Comité demande instamment à l</w:t>
      </w:r>
      <w:r w:rsidRPr="00691D1A">
        <w:rPr>
          <w:b/>
          <w:bCs/>
          <w:lang w:val="fr-FR"/>
        </w:rPr>
        <w:t>’</w:t>
      </w:r>
      <w:r w:rsidRPr="00691D1A">
        <w:rPr>
          <w:b/>
          <w:bCs/>
          <w:lang w:val="fr-FR"/>
        </w:rPr>
        <w:t>État partie :</w:t>
      </w:r>
    </w:p>
    <w:p w14:paraId="4B55A57C" w14:textId="6CD58F1B" w:rsidR="00050CF5" w:rsidRPr="00DC2178" w:rsidRDefault="00050CF5" w:rsidP="00050CF5">
      <w:pPr>
        <w:pStyle w:val="SingleTxtG"/>
        <w:ind w:firstLine="567"/>
        <w:rPr>
          <w:b/>
          <w:bCs/>
          <w:lang w:val="fr-FR"/>
        </w:rPr>
      </w:pPr>
      <w:r w:rsidRPr="00691D1A">
        <w:rPr>
          <w:b/>
          <w:bCs/>
          <w:lang w:val="fr-FR"/>
        </w:rPr>
        <w:t>a)</w:t>
      </w:r>
      <w:r w:rsidRPr="00691D1A">
        <w:rPr>
          <w:b/>
          <w:bCs/>
          <w:lang w:val="fr-FR"/>
        </w:rPr>
        <w:tab/>
        <w:t>De réaliser une évaluation des plans de lutte contre les violences faites</w:t>
      </w:r>
      <w:r>
        <w:rPr>
          <w:b/>
          <w:bCs/>
          <w:lang w:val="fr-FR"/>
        </w:rPr>
        <w:t xml:space="preserve"> aux enfants, notamment en collectant des données sur tous les cas de violence intrafamiliale à l</w:t>
      </w:r>
      <w:r>
        <w:rPr>
          <w:b/>
          <w:bCs/>
          <w:lang w:val="fr-FR"/>
        </w:rPr>
        <w:t>’</w:t>
      </w:r>
      <w:r>
        <w:rPr>
          <w:b/>
          <w:bCs/>
          <w:lang w:val="fr-FR"/>
        </w:rPr>
        <w:t>égard des enfants, afin d</w:t>
      </w:r>
      <w:r>
        <w:rPr>
          <w:b/>
          <w:bCs/>
          <w:lang w:val="fr-FR"/>
        </w:rPr>
        <w:t>’</w:t>
      </w:r>
      <w:r>
        <w:rPr>
          <w:b/>
          <w:bCs/>
          <w:lang w:val="fr-FR"/>
        </w:rPr>
        <w:t>éclairer l</w:t>
      </w:r>
      <w:r>
        <w:rPr>
          <w:b/>
          <w:bCs/>
          <w:lang w:val="fr-FR"/>
        </w:rPr>
        <w:t>’</w:t>
      </w:r>
      <w:r>
        <w:rPr>
          <w:b/>
          <w:bCs/>
          <w:lang w:val="fr-FR"/>
        </w:rPr>
        <w:t>élaboration et l</w:t>
      </w:r>
      <w:r>
        <w:rPr>
          <w:b/>
          <w:bCs/>
          <w:lang w:val="fr-FR"/>
        </w:rPr>
        <w:t>’</w:t>
      </w:r>
      <w:r>
        <w:rPr>
          <w:b/>
          <w:bCs/>
          <w:lang w:val="fr-FR"/>
        </w:rPr>
        <w:t>adoption d</w:t>
      </w:r>
      <w:r>
        <w:rPr>
          <w:b/>
          <w:bCs/>
          <w:lang w:val="fr-FR"/>
        </w:rPr>
        <w:t>’</w:t>
      </w:r>
      <w:r>
        <w:rPr>
          <w:b/>
          <w:bCs/>
          <w:lang w:val="fr-FR"/>
        </w:rPr>
        <w:t>un nouveau plan d</w:t>
      </w:r>
      <w:r>
        <w:rPr>
          <w:b/>
          <w:bCs/>
          <w:lang w:val="fr-FR"/>
        </w:rPr>
        <w:t>’</w:t>
      </w:r>
      <w:r>
        <w:rPr>
          <w:b/>
          <w:bCs/>
          <w:lang w:val="fr-FR"/>
        </w:rPr>
        <w:t>action, et de procéder à une évaluation complète de l</w:t>
      </w:r>
      <w:r>
        <w:rPr>
          <w:b/>
          <w:bCs/>
          <w:lang w:val="fr-FR"/>
        </w:rPr>
        <w:t>’</w:t>
      </w:r>
      <w:r>
        <w:rPr>
          <w:b/>
          <w:bCs/>
          <w:lang w:val="fr-FR"/>
        </w:rPr>
        <w:t>ampleur, des causes et de la nature des violences de ce type ;</w:t>
      </w:r>
    </w:p>
    <w:p w14:paraId="2FBA759E" w14:textId="01084401" w:rsidR="00050CF5" w:rsidRPr="00DC2178" w:rsidRDefault="00050CF5" w:rsidP="00050CF5">
      <w:pPr>
        <w:pStyle w:val="SingleTxtG"/>
        <w:ind w:firstLine="567"/>
        <w:rPr>
          <w:b/>
          <w:bCs/>
          <w:lang w:val="fr-FR"/>
        </w:rPr>
      </w:pPr>
      <w:r w:rsidRPr="00D46FD4">
        <w:rPr>
          <w:b/>
          <w:bCs/>
          <w:lang w:val="fr-FR"/>
        </w:rPr>
        <w:t>b)</w:t>
      </w:r>
      <w:r>
        <w:rPr>
          <w:lang w:val="fr-FR"/>
        </w:rPr>
        <w:tab/>
      </w:r>
      <w:r>
        <w:rPr>
          <w:b/>
          <w:bCs/>
          <w:lang w:val="fr-FR"/>
        </w:rPr>
        <w:t>De renforcer encore les programmes et les campagnes de sensibilisation et d</w:t>
      </w:r>
      <w:r>
        <w:rPr>
          <w:b/>
          <w:bCs/>
          <w:lang w:val="fr-FR"/>
        </w:rPr>
        <w:t>’</w:t>
      </w:r>
      <w:r>
        <w:rPr>
          <w:b/>
          <w:bCs/>
          <w:lang w:val="fr-FR"/>
        </w:rPr>
        <w:t>éducation, notamment ceux qui portent sur l</w:t>
      </w:r>
      <w:r>
        <w:rPr>
          <w:b/>
          <w:bCs/>
          <w:lang w:val="fr-FR"/>
        </w:rPr>
        <w:t>’</w:t>
      </w:r>
      <w:r>
        <w:rPr>
          <w:b/>
          <w:bCs/>
          <w:lang w:val="fr-FR"/>
        </w:rPr>
        <w:t>utilisation du numéro d</w:t>
      </w:r>
      <w:r>
        <w:rPr>
          <w:b/>
          <w:bCs/>
          <w:lang w:val="fr-FR"/>
        </w:rPr>
        <w:t>’</w:t>
      </w:r>
      <w:r>
        <w:rPr>
          <w:b/>
          <w:bCs/>
          <w:lang w:val="fr-FR"/>
        </w:rPr>
        <w:t>appel national</w:t>
      </w:r>
      <w:r w:rsidR="00D46FD4">
        <w:rPr>
          <w:b/>
          <w:bCs/>
          <w:lang w:val="fr-FR"/>
        </w:rPr>
        <w:t> </w:t>
      </w:r>
      <w:r>
        <w:rPr>
          <w:b/>
          <w:bCs/>
          <w:lang w:val="fr-FR"/>
        </w:rPr>
        <w:t>119 pour la protection de l</w:t>
      </w:r>
      <w:r>
        <w:rPr>
          <w:b/>
          <w:bCs/>
          <w:lang w:val="fr-FR"/>
        </w:rPr>
        <w:t>’</w:t>
      </w:r>
      <w:r>
        <w:rPr>
          <w:b/>
          <w:bCs/>
          <w:lang w:val="fr-FR"/>
        </w:rPr>
        <w:t>enfance, en y associant les enfants, afin de simplifier le signalement des cas de violences faites aux enfants ;</w:t>
      </w:r>
    </w:p>
    <w:p w14:paraId="1F3EF3A2" w14:textId="384EC0EA" w:rsidR="00050CF5" w:rsidRPr="00DC2178" w:rsidRDefault="00050CF5" w:rsidP="00050CF5">
      <w:pPr>
        <w:pStyle w:val="SingleTxtG"/>
        <w:ind w:firstLine="567"/>
        <w:rPr>
          <w:b/>
          <w:bCs/>
          <w:lang w:val="fr-FR"/>
        </w:rPr>
      </w:pPr>
      <w:r w:rsidRPr="00D46FD4">
        <w:rPr>
          <w:b/>
          <w:bCs/>
          <w:lang w:val="fr-FR"/>
        </w:rPr>
        <w:t>c)</w:t>
      </w:r>
      <w:r>
        <w:rPr>
          <w:lang w:val="fr-FR"/>
        </w:rPr>
        <w:tab/>
      </w:r>
      <w:r>
        <w:rPr>
          <w:b/>
          <w:bCs/>
          <w:lang w:val="fr-FR"/>
        </w:rPr>
        <w:t>D</w:t>
      </w:r>
      <w:r>
        <w:rPr>
          <w:b/>
          <w:bCs/>
          <w:lang w:val="fr-FR"/>
        </w:rPr>
        <w:t>’</w:t>
      </w:r>
      <w:r>
        <w:rPr>
          <w:b/>
          <w:bCs/>
          <w:lang w:val="fr-FR"/>
        </w:rPr>
        <w:t>accroître les ressources humaines, techniques et financières consacrées à la prévention de la violence, de définir de manière claire les compétences des différents acteurs de la protection de l</w:t>
      </w:r>
      <w:r>
        <w:rPr>
          <w:b/>
          <w:bCs/>
          <w:lang w:val="fr-FR"/>
        </w:rPr>
        <w:t>’</w:t>
      </w:r>
      <w:r>
        <w:rPr>
          <w:b/>
          <w:bCs/>
          <w:lang w:val="fr-FR"/>
        </w:rPr>
        <w:t>enfance, dont les mandats se recoupent à des degrés divers, et d</w:t>
      </w:r>
      <w:r>
        <w:rPr>
          <w:b/>
          <w:bCs/>
          <w:lang w:val="fr-FR"/>
        </w:rPr>
        <w:t>’</w:t>
      </w:r>
      <w:r>
        <w:rPr>
          <w:b/>
          <w:bCs/>
          <w:lang w:val="fr-FR"/>
        </w:rPr>
        <w:t>assurer une coordination et une communication efficaces entre ces acteurs.</w:t>
      </w:r>
    </w:p>
    <w:p w14:paraId="4D156165" w14:textId="77777777" w:rsidR="00050CF5" w:rsidRPr="00DC2178" w:rsidRDefault="00050CF5" w:rsidP="00050CF5">
      <w:pPr>
        <w:pStyle w:val="H23G"/>
        <w:rPr>
          <w:lang w:val="fr-FR"/>
        </w:rPr>
      </w:pPr>
      <w:r>
        <w:rPr>
          <w:lang w:val="fr-FR"/>
        </w:rPr>
        <w:tab/>
      </w:r>
      <w:r>
        <w:rPr>
          <w:lang w:val="fr-FR"/>
        </w:rPr>
        <w:tab/>
      </w:r>
      <w:r>
        <w:rPr>
          <w:bCs/>
          <w:lang w:val="fr-FR"/>
        </w:rPr>
        <w:t>Exploitation sexuelle et abus sexuels</w:t>
      </w:r>
    </w:p>
    <w:p w14:paraId="48464DD6" w14:textId="529D891C" w:rsidR="00050CF5" w:rsidRPr="00DC2178" w:rsidRDefault="00050CF5" w:rsidP="00050CF5">
      <w:pPr>
        <w:pStyle w:val="SingleTxtG"/>
        <w:rPr>
          <w:lang w:val="fr-FR"/>
        </w:rPr>
      </w:pPr>
      <w:r>
        <w:rPr>
          <w:lang w:val="fr-FR"/>
        </w:rPr>
        <w:t>27.</w:t>
      </w:r>
      <w:r>
        <w:rPr>
          <w:lang w:val="fr-FR"/>
        </w:rPr>
        <w:tab/>
        <w:t>Le Comité prend note de l</w:t>
      </w:r>
      <w:r>
        <w:rPr>
          <w:lang w:val="fr-FR"/>
        </w:rPr>
        <w:t>’</w:t>
      </w:r>
      <w:r>
        <w:rPr>
          <w:lang w:val="fr-FR"/>
        </w:rPr>
        <w:t xml:space="preserve">adoption de la loi </w:t>
      </w:r>
      <w:r w:rsidR="00D46FD4" w:rsidRPr="00D46FD4">
        <w:rPr>
          <w:rFonts w:eastAsia="MS Mincho"/>
          <w:szCs w:val="22"/>
          <w:lang w:val="fr-FR"/>
        </w:rPr>
        <w:t>n</w:t>
      </w:r>
      <w:r w:rsidR="00D46FD4" w:rsidRPr="00D46FD4">
        <w:rPr>
          <w:rFonts w:eastAsia="MS Mincho"/>
          <w:szCs w:val="22"/>
          <w:vertAlign w:val="superscript"/>
          <w:lang w:val="fr-FR"/>
        </w:rPr>
        <w:t>o</w:t>
      </w:r>
      <w:r w:rsidR="00D46FD4">
        <w:rPr>
          <w:lang w:val="fr-FR"/>
        </w:rPr>
        <w:t> </w:t>
      </w:r>
      <w:r>
        <w:rPr>
          <w:lang w:val="fr-FR"/>
        </w:rPr>
        <w:t>2021-478 du 21</w:t>
      </w:r>
      <w:r w:rsidR="00D46FD4">
        <w:rPr>
          <w:lang w:val="fr-FR"/>
        </w:rPr>
        <w:t> </w:t>
      </w:r>
      <w:r>
        <w:rPr>
          <w:lang w:val="fr-FR"/>
        </w:rPr>
        <w:t>avril 2021 visant à protéger les mineurs des crimes et délits sexuels et de l</w:t>
      </w:r>
      <w:r>
        <w:rPr>
          <w:lang w:val="fr-FR"/>
        </w:rPr>
        <w:t>’</w:t>
      </w:r>
      <w:r>
        <w:rPr>
          <w:lang w:val="fr-FR"/>
        </w:rPr>
        <w:t>inceste, qui instaure un mécanisme de prolongation du délai de prescription pour les infractions commises par un même auteur au préjudice de plusieurs victimes, ainsi que de la création et des travaux de la Commission indépendante sur l</w:t>
      </w:r>
      <w:r>
        <w:rPr>
          <w:lang w:val="fr-FR"/>
        </w:rPr>
        <w:t>’</w:t>
      </w:r>
      <w:r>
        <w:rPr>
          <w:lang w:val="fr-FR"/>
        </w:rPr>
        <w:t>inceste et les violences sexuelles faites aux enfants et de la Commission indépendante sur les abus sexuels dans l</w:t>
      </w:r>
      <w:r>
        <w:rPr>
          <w:lang w:val="fr-FR"/>
        </w:rPr>
        <w:t>’</w:t>
      </w:r>
      <w:r>
        <w:rPr>
          <w:lang w:val="fr-FR"/>
        </w:rPr>
        <w:t>Église. Cependant, il reste vivement préoccupé par les informations relatives :</w:t>
      </w:r>
    </w:p>
    <w:p w14:paraId="4C24E508" w14:textId="1D0B7A40" w:rsidR="00050CF5" w:rsidRPr="00DC2178" w:rsidRDefault="00050CF5" w:rsidP="00050CF5">
      <w:pPr>
        <w:pStyle w:val="SingleTxtG"/>
        <w:ind w:firstLine="567"/>
        <w:rPr>
          <w:lang w:val="fr-FR"/>
        </w:rPr>
      </w:pPr>
      <w:r>
        <w:rPr>
          <w:lang w:val="fr-FR"/>
        </w:rPr>
        <w:t>a)</w:t>
      </w:r>
      <w:r>
        <w:rPr>
          <w:lang w:val="fr-FR"/>
        </w:rPr>
        <w:tab/>
        <w:t>Au nombre particulièrement faible de condamnations dans les affaires d</w:t>
      </w:r>
      <w:r>
        <w:rPr>
          <w:lang w:val="fr-FR"/>
        </w:rPr>
        <w:t>’</w:t>
      </w:r>
      <w:r>
        <w:rPr>
          <w:lang w:val="fr-FR"/>
        </w:rPr>
        <w:t>abus sexuels perpétrés par des membres du personnel religieux de l</w:t>
      </w:r>
      <w:r>
        <w:rPr>
          <w:lang w:val="fr-FR"/>
        </w:rPr>
        <w:t>’</w:t>
      </w:r>
      <w:r>
        <w:rPr>
          <w:lang w:val="fr-FR"/>
        </w:rPr>
        <w:t>Église catholique compte tenu de l</w:t>
      </w:r>
      <w:r>
        <w:rPr>
          <w:lang w:val="fr-FR"/>
        </w:rPr>
        <w:t>’</w:t>
      </w:r>
      <w:r>
        <w:rPr>
          <w:lang w:val="fr-FR"/>
        </w:rPr>
        <w:t>ampleur présumée des abus, et au faible nombre d</w:t>
      </w:r>
      <w:r>
        <w:rPr>
          <w:lang w:val="fr-FR"/>
        </w:rPr>
        <w:t>’</w:t>
      </w:r>
      <w:r>
        <w:rPr>
          <w:lang w:val="fr-FR"/>
        </w:rPr>
        <w:t>indemnisations accordées aux victimes ;</w:t>
      </w:r>
    </w:p>
    <w:p w14:paraId="3E733906" w14:textId="1E89D52A" w:rsidR="00050CF5" w:rsidRPr="00DC2178" w:rsidRDefault="00050CF5" w:rsidP="00050CF5">
      <w:pPr>
        <w:pStyle w:val="SingleTxtG"/>
        <w:ind w:firstLine="567"/>
        <w:rPr>
          <w:lang w:val="fr-FR"/>
        </w:rPr>
      </w:pPr>
      <w:r>
        <w:rPr>
          <w:lang w:val="fr-FR"/>
        </w:rPr>
        <w:t>b)</w:t>
      </w:r>
      <w:r>
        <w:rPr>
          <w:lang w:val="fr-FR"/>
        </w:rPr>
        <w:tab/>
        <w:t>À l</w:t>
      </w:r>
      <w:r>
        <w:rPr>
          <w:lang w:val="fr-FR"/>
        </w:rPr>
        <w:t>’</w:t>
      </w:r>
      <w:r>
        <w:rPr>
          <w:lang w:val="fr-FR"/>
        </w:rPr>
        <w:t>absence d</w:t>
      </w:r>
      <w:r>
        <w:rPr>
          <w:lang w:val="fr-FR"/>
        </w:rPr>
        <w:t>’</w:t>
      </w:r>
      <w:r>
        <w:rPr>
          <w:lang w:val="fr-FR"/>
        </w:rPr>
        <w:t>approche multisectorielle adaptée aux enfants dans les enquêtes portant sur des abus sexuels sur enfants, notamment dans les cas dans lesquels l</w:t>
      </w:r>
      <w:r>
        <w:rPr>
          <w:lang w:val="fr-FR"/>
        </w:rPr>
        <w:t>’</w:t>
      </w:r>
      <w:r>
        <w:rPr>
          <w:lang w:val="fr-FR"/>
        </w:rPr>
        <w:t>auteur présumé fait partie du cercle de confiance de l</w:t>
      </w:r>
      <w:r>
        <w:rPr>
          <w:lang w:val="fr-FR"/>
        </w:rPr>
        <w:t>’</w:t>
      </w:r>
      <w:r>
        <w:rPr>
          <w:lang w:val="fr-FR"/>
        </w:rPr>
        <w:t>enfant, par exemple lorsqu</w:t>
      </w:r>
      <w:r>
        <w:rPr>
          <w:lang w:val="fr-FR"/>
        </w:rPr>
        <w:t>’</w:t>
      </w:r>
      <w:r>
        <w:rPr>
          <w:lang w:val="fr-FR"/>
        </w:rPr>
        <w:t>il s</w:t>
      </w:r>
      <w:r>
        <w:rPr>
          <w:lang w:val="fr-FR"/>
        </w:rPr>
        <w:t>’</w:t>
      </w:r>
      <w:r>
        <w:rPr>
          <w:lang w:val="fr-FR"/>
        </w:rPr>
        <w:t>agit d</w:t>
      </w:r>
      <w:r>
        <w:rPr>
          <w:lang w:val="fr-FR"/>
        </w:rPr>
        <w:t>’</w:t>
      </w:r>
      <w:r>
        <w:rPr>
          <w:lang w:val="fr-FR"/>
        </w:rPr>
        <w:t>un membre du personnel religieux de l</w:t>
      </w:r>
      <w:r>
        <w:rPr>
          <w:lang w:val="fr-FR"/>
        </w:rPr>
        <w:t>’</w:t>
      </w:r>
      <w:r>
        <w:rPr>
          <w:lang w:val="fr-FR"/>
        </w:rPr>
        <w:t>Église catholique ;</w:t>
      </w:r>
    </w:p>
    <w:p w14:paraId="655F8234" w14:textId="6BBDAFA3" w:rsidR="00050CF5" w:rsidRPr="00DC2178" w:rsidRDefault="00050CF5" w:rsidP="00050CF5">
      <w:pPr>
        <w:pStyle w:val="SingleTxtG"/>
        <w:ind w:firstLine="567"/>
        <w:rPr>
          <w:lang w:val="fr-FR"/>
        </w:rPr>
      </w:pPr>
      <w:r>
        <w:rPr>
          <w:lang w:val="fr-FR"/>
        </w:rPr>
        <w:t>c)</w:t>
      </w:r>
      <w:r>
        <w:rPr>
          <w:lang w:val="fr-FR"/>
        </w:rPr>
        <w:tab/>
        <w:t>Au fait que les délais de prescription applicables sont courts, alors que certaines infractions ont été commises il y a plusieurs dizaines d</w:t>
      </w:r>
      <w:r>
        <w:rPr>
          <w:lang w:val="fr-FR"/>
        </w:rPr>
        <w:t>’</w:t>
      </w:r>
      <w:r>
        <w:rPr>
          <w:lang w:val="fr-FR"/>
        </w:rPr>
        <w:t>années ;</w:t>
      </w:r>
    </w:p>
    <w:p w14:paraId="1C12FBBB" w14:textId="361F1568" w:rsidR="00050CF5" w:rsidRPr="00DC2178" w:rsidRDefault="00050CF5" w:rsidP="00050CF5">
      <w:pPr>
        <w:pStyle w:val="SingleTxtG"/>
        <w:ind w:firstLine="567"/>
        <w:rPr>
          <w:lang w:val="fr-FR"/>
        </w:rPr>
      </w:pPr>
      <w:r>
        <w:rPr>
          <w:lang w:val="fr-FR"/>
        </w:rPr>
        <w:t>d)</w:t>
      </w:r>
      <w:r>
        <w:rPr>
          <w:lang w:val="fr-FR"/>
        </w:rPr>
        <w:tab/>
        <w:t>Au caractère limité des mesures prises pour lutter contre l</w:t>
      </w:r>
      <w:r>
        <w:rPr>
          <w:lang w:val="fr-FR"/>
        </w:rPr>
        <w:t>’</w:t>
      </w:r>
      <w:r>
        <w:rPr>
          <w:lang w:val="fr-FR"/>
        </w:rPr>
        <w:t>exploitation sexuelle d</w:t>
      </w:r>
      <w:r>
        <w:rPr>
          <w:lang w:val="fr-FR"/>
        </w:rPr>
        <w:t>’</w:t>
      </w:r>
      <w:r>
        <w:rPr>
          <w:lang w:val="fr-FR"/>
        </w:rPr>
        <w:t>enfants et les abus sexuels sur enfants en ligne ;</w:t>
      </w:r>
    </w:p>
    <w:p w14:paraId="1F4FEB8F" w14:textId="1FDDCB8A" w:rsidR="00050CF5" w:rsidRPr="00DC2178" w:rsidRDefault="00050CF5" w:rsidP="00050CF5">
      <w:pPr>
        <w:pStyle w:val="SingleTxtG"/>
        <w:ind w:firstLine="567"/>
        <w:rPr>
          <w:lang w:val="fr-FR"/>
        </w:rPr>
      </w:pPr>
      <w:r>
        <w:rPr>
          <w:lang w:val="fr-FR"/>
        </w:rPr>
        <w:t>e)</w:t>
      </w:r>
      <w:r>
        <w:rPr>
          <w:lang w:val="fr-FR"/>
        </w:rPr>
        <w:tab/>
        <w:t>À l</w:t>
      </w:r>
      <w:r>
        <w:rPr>
          <w:lang w:val="fr-FR"/>
        </w:rPr>
        <w:t>’</w:t>
      </w:r>
      <w:r>
        <w:rPr>
          <w:lang w:val="fr-FR"/>
        </w:rPr>
        <w:t>absence générale de données sur les cas d</w:t>
      </w:r>
      <w:r>
        <w:rPr>
          <w:lang w:val="fr-FR"/>
        </w:rPr>
        <w:t>’</w:t>
      </w:r>
      <w:r>
        <w:rPr>
          <w:lang w:val="fr-FR"/>
        </w:rPr>
        <w:t>abus sexuels sur enfants.</w:t>
      </w:r>
    </w:p>
    <w:p w14:paraId="580C9062" w14:textId="2351D67C" w:rsidR="00050CF5" w:rsidRPr="00DC2178" w:rsidRDefault="00050CF5" w:rsidP="00050CF5">
      <w:pPr>
        <w:pStyle w:val="SingleTxtG"/>
        <w:rPr>
          <w:b/>
          <w:bCs/>
          <w:lang w:val="fr-FR"/>
        </w:rPr>
      </w:pPr>
      <w:r>
        <w:rPr>
          <w:lang w:val="fr-FR"/>
        </w:rPr>
        <w:lastRenderedPageBreak/>
        <w:t>28.</w:t>
      </w:r>
      <w:r>
        <w:rPr>
          <w:lang w:val="fr-FR"/>
        </w:rPr>
        <w:tab/>
      </w:r>
      <w:r>
        <w:rPr>
          <w:b/>
          <w:bCs/>
          <w:lang w:val="fr-FR"/>
        </w:rPr>
        <w:t>Le Comité demande instamment à l</w:t>
      </w:r>
      <w:r>
        <w:rPr>
          <w:b/>
          <w:bCs/>
          <w:lang w:val="fr-FR"/>
        </w:rPr>
        <w:t>’</w:t>
      </w:r>
      <w:r>
        <w:rPr>
          <w:b/>
          <w:bCs/>
          <w:lang w:val="fr-FR"/>
        </w:rPr>
        <w:t>État partie :</w:t>
      </w:r>
    </w:p>
    <w:p w14:paraId="750BEBB8" w14:textId="0D61142C" w:rsidR="00050CF5" w:rsidRPr="00717BCE" w:rsidRDefault="00050CF5" w:rsidP="00050CF5">
      <w:pPr>
        <w:pStyle w:val="SingleTxtG"/>
        <w:ind w:firstLine="567"/>
        <w:rPr>
          <w:b/>
          <w:bCs/>
          <w:lang w:val="fr-FR"/>
        </w:rPr>
      </w:pPr>
      <w:r w:rsidRPr="00717BCE">
        <w:rPr>
          <w:b/>
          <w:bCs/>
          <w:lang w:val="fr-FR"/>
        </w:rPr>
        <w:t>a)</w:t>
      </w:r>
      <w:r w:rsidRPr="00717BCE">
        <w:rPr>
          <w:b/>
          <w:bCs/>
          <w:lang w:val="fr-FR"/>
        </w:rPr>
        <w:tab/>
        <w:t>De poursuivre ses efforts pour que tous les abus sexuels sur des enfants de moins de 18</w:t>
      </w:r>
      <w:r w:rsidR="004E2541">
        <w:rPr>
          <w:b/>
          <w:bCs/>
          <w:lang w:val="fr-FR"/>
        </w:rPr>
        <w:t> </w:t>
      </w:r>
      <w:r w:rsidRPr="00717BCE">
        <w:rPr>
          <w:b/>
          <w:bCs/>
          <w:lang w:val="fr-FR"/>
        </w:rPr>
        <w:t>ans, notamment les abus perpétrés par des personnes de confiance, telles que des membres du personnel religieux de l</w:t>
      </w:r>
      <w:r w:rsidRPr="00717BCE">
        <w:rPr>
          <w:b/>
          <w:bCs/>
          <w:lang w:val="fr-FR"/>
        </w:rPr>
        <w:t>’</w:t>
      </w:r>
      <w:r w:rsidRPr="00717BCE">
        <w:rPr>
          <w:b/>
          <w:bCs/>
          <w:lang w:val="fr-FR"/>
        </w:rPr>
        <w:t>Église catholique, soient signalés, fassent l</w:t>
      </w:r>
      <w:r w:rsidRPr="00717BCE">
        <w:rPr>
          <w:b/>
          <w:bCs/>
          <w:lang w:val="fr-FR"/>
        </w:rPr>
        <w:t>’</w:t>
      </w:r>
      <w:r w:rsidRPr="00717BCE">
        <w:rPr>
          <w:b/>
          <w:bCs/>
          <w:lang w:val="fr-FR"/>
        </w:rPr>
        <w:t>objet d</w:t>
      </w:r>
      <w:r w:rsidRPr="00717BCE">
        <w:rPr>
          <w:b/>
          <w:bCs/>
          <w:lang w:val="fr-FR"/>
        </w:rPr>
        <w:t>’</w:t>
      </w:r>
      <w:r w:rsidRPr="00717BCE">
        <w:rPr>
          <w:b/>
          <w:bCs/>
          <w:lang w:val="fr-FR"/>
        </w:rPr>
        <w:t>une enquête et donnent lieu à des poursuites ;</w:t>
      </w:r>
    </w:p>
    <w:p w14:paraId="655EF62A" w14:textId="246A1E76" w:rsidR="00050CF5" w:rsidRPr="00717BCE" w:rsidRDefault="00050CF5" w:rsidP="00050CF5">
      <w:pPr>
        <w:pStyle w:val="SingleTxtG"/>
        <w:ind w:firstLine="567"/>
        <w:rPr>
          <w:b/>
          <w:bCs/>
          <w:lang w:val="fr-FR"/>
        </w:rPr>
      </w:pPr>
      <w:r w:rsidRPr="00717BCE">
        <w:rPr>
          <w:b/>
          <w:bCs/>
          <w:lang w:val="fr-FR"/>
        </w:rPr>
        <w:t>b)</w:t>
      </w:r>
      <w:r w:rsidRPr="00717BCE">
        <w:rPr>
          <w:b/>
          <w:bCs/>
          <w:lang w:val="fr-FR"/>
        </w:rPr>
        <w:tab/>
        <w:t>D</w:t>
      </w:r>
      <w:r w:rsidRPr="00717BCE">
        <w:rPr>
          <w:b/>
          <w:bCs/>
          <w:lang w:val="fr-FR"/>
        </w:rPr>
        <w:t>’</w:t>
      </w:r>
      <w:r w:rsidRPr="00717BCE">
        <w:rPr>
          <w:b/>
          <w:bCs/>
          <w:lang w:val="fr-FR"/>
        </w:rPr>
        <w:t>adopter une approche multisectorielle adaptée aux enfants dans le cadre des enquêtes sur les abus sexuels sur enfants, notamment en évitant la réactivation du traumatisme des victimes au moyen de techniques d</w:t>
      </w:r>
      <w:r w:rsidRPr="00717BCE">
        <w:rPr>
          <w:b/>
          <w:bCs/>
          <w:lang w:val="fr-FR"/>
        </w:rPr>
        <w:t>’</w:t>
      </w:r>
      <w:r w:rsidRPr="00717BCE">
        <w:rPr>
          <w:b/>
          <w:bCs/>
          <w:lang w:val="fr-FR"/>
        </w:rPr>
        <w:t>entretien médico</w:t>
      </w:r>
      <w:r w:rsidR="00717BCE">
        <w:rPr>
          <w:b/>
          <w:bCs/>
          <w:lang w:val="fr-FR"/>
        </w:rPr>
        <w:noBreakHyphen/>
      </w:r>
      <w:r w:rsidRPr="00717BCE">
        <w:rPr>
          <w:b/>
          <w:bCs/>
          <w:lang w:val="fr-FR"/>
        </w:rPr>
        <w:t>légal fondées sur des preuves et de thérapies adaptées axées sur les traumatismes ;</w:t>
      </w:r>
    </w:p>
    <w:p w14:paraId="0716A112" w14:textId="4C49258F" w:rsidR="00050CF5" w:rsidRPr="00717BCE" w:rsidRDefault="00050CF5" w:rsidP="00050CF5">
      <w:pPr>
        <w:pStyle w:val="SingleTxtG"/>
        <w:ind w:firstLine="567"/>
        <w:rPr>
          <w:b/>
          <w:bCs/>
          <w:lang w:val="fr-FR"/>
        </w:rPr>
      </w:pPr>
      <w:r w:rsidRPr="00717BCE">
        <w:rPr>
          <w:b/>
          <w:bCs/>
          <w:lang w:val="fr-FR"/>
        </w:rPr>
        <w:t>c)</w:t>
      </w:r>
      <w:r w:rsidRPr="00717BCE">
        <w:rPr>
          <w:b/>
          <w:bCs/>
          <w:lang w:val="fr-FR"/>
        </w:rPr>
        <w:tab/>
        <w:t xml:space="preserve">De continuer de veiller à ce que les enregistrements </w:t>
      </w:r>
      <w:proofErr w:type="spellStart"/>
      <w:r w:rsidRPr="00717BCE">
        <w:rPr>
          <w:b/>
          <w:bCs/>
          <w:lang w:val="fr-FR"/>
        </w:rPr>
        <w:t>audiovisuels</w:t>
      </w:r>
      <w:proofErr w:type="spellEnd"/>
      <w:r w:rsidRPr="00717BCE">
        <w:rPr>
          <w:b/>
          <w:bCs/>
          <w:lang w:val="fr-FR"/>
        </w:rPr>
        <w:t xml:space="preserve"> soient systématiquement acceptés comme preuves devant les tribunaux et d</w:t>
      </w:r>
      <w:r w:rsidRPr="00717BCE">
        <w:rPr>
          <w:b/>
          <w:bCs/>
          <w:lang w:val="fr-FR"/>
        </w:rPr>
        <w:t>’</w:t>
      </w:r>
      <w:r w:rsidRPr="00717BCE">
        <w:rPr>
          <w:b/>
          <w:bCs/>
          <w:lang w:val="fr-FR"/>
        </w:rPr>
        <w:t>envisager de mettre en place un dispositif permettant de procéder sans délai à un contre</w:t>
      </w:r>
      <w:r w:rsidR="00717BCE">
        <w:rPr>
          <w:b/>
          <w:bCs/>
          <w:lang w:val="fr-FR"/>
        </w:rPr>
        <w:noBreakHyphen/>
      </w:r>
      <w:r w:rsidRPr="00717BCE">
        <w:rPr>
          <w:b/>
          <w:bCs/>
          <w:lang w:val="fr-FR"/>
        </w:rPr>
        <w:t>interrogatoire, au stade de l</w:t>
      </w:r>
      <w:r w:rsidRPr="00717BCE">
        <w:rPr>
          <w:b/>
          <w:bCs/>
          <w:lang w:val="fr-FR"/>
        </w:rPr>
        <w:t>’</w:t>
      </w:r>
      <w:r w:rsidRPr="00717BCE">
        <w:rPr>
          <w:b/>
          <w:bCs/>
          <w:lang w:val="fr-FR"/>
        </w:rPr>
        <w:t>instruction, afin que les enfants victimes n</w:t>
      </w:r>
      <w:r w:rsidRPr="00717BCE">
        <w:rPr>
          <w:b/>
          <w:bCs/>
          <w:lang w:val="fr-FR"/>
        </w:rPr>
        <w:t>’</w:t>
      </w:r>
      <w:r w:rsidRPr="00717BCE">
        <w:rPr>
          <w:b/>
          <w:bCs/>
          <w:lang w:val="fr-FR"/>
        </w:rPr>
        <w:t>aient pas à témoigner devant le tribunal ;</w:t>
      </w:r>
    </w:p>
    <w:p w14:paraId="0A2DF407" w14:textId="0242DBA5" w:rsidR="00050CF5" w:rsidRPr="00717BCE" w:rsidRDefault="00050CF5" w:rsidP="00050CF5">
      <w:pPr>
        <w:pStyle w:val="SingleTxtG"/>
        <w:ind w:firstLine="567"/>
        <w:rPr>
          <w:b/>
          <w:bCs/>
          <w:lang w:val="fr-FR"/>
        </w:rPr>
      </w:pPr>
      <w:r w:rsidRPr="00717BCE">
        <w:rPr>
          <w:b/>
          <w:bCs/>
          <w:lang w:val="fr-FR"/>
        </w:rPr>
        <w:t>d)</w:t>
      </w:r>
      <w:r w:rsidRPr="00717BCE">
        <w:rPr>
          <w:b/>
          <w:bCs/>
          <w:lang w:val="fr-FR"/>
        </w:rPr>
        <w:tab/>
        <w:t>De veiller à ce que les enfants victimes d</w:t>
      </w:r>
      <w:r w:rsidRPr="00717BCE">
        <w:rPr>
          <w:b/>
          <w:bCs/>
          <w:lang w:val="fr-FR"/>
        </w:rPr>
        <w:t>’</w:t>
      </w:r>
      <w:r w:rsidRPr="00717BCE">
        <w:rPr>
          <w:b/>
          <w:bCs/>
          <w:lang w:val="fr-FR"/>
        </w:rPr>
        <w:t>abus sexuels aient accès à des voies de recours et des mesures de soutien appropriées et soient indemnisés de manière adéquate ;</w:t>
      </w:r>
    </w:p>
    <w:p w14:paraId="1FF764C5" w14:textId="3D228A5B" w:rsidR="00050CF5" w:rsidRPr="00717BCE" w:rsidRDefault="00050CF5" w:rsidP="00050CF5">
      <w:pPr>
        <w:pStyle w:val="SingleTxtG"/>
        <w:ind w:firstLine="567"/>
        <w:rPr>
          <w:b/>
          <w:bCs/>
          <w:lang w:val="fr-FR"/>
        </w:rPr>
      </w:pPr>
      <w:r w:rsidRPr="00717BCE">
        <w:rPr>
          <w:b/>
          <w:bCs/>
          <w:lang w:val="fr-FR"/>
        </w:rPr>
        <w:t>e)</w:t>
      </w:r>
      <w:r w:rsidRPr="00717BCE">
        <w:rPr>
          <w:b/>
          <w:bCs/>
          <w:lang w:val="fr-FR"/>
        </w:rPr>
        <w:tab/>
        <w:t>De renforcer les mesures visant à protéger les enfants de plus de 15</w:t>
      </w:r>
      <w:r w:rsidR="004E2541">
        <w:rPr>
          <w:b/>
          <w:bCs/>
          <w:lang w:val="fr-FR"/>
        </w:rPr>
        <w:t> </w:t>
      </w:r>
      <w:r w:rsidRPr="00717BCE">
        <w:rPr>
          <w:b/>
          <w:bCs/>
          <w:lang w:val="fr-FR"/>
        </w:rPr>
        <w:t>ans qui sont ou risquent d</w:t>
      </w:r>
      <w:r w:rsidRPr="00717BCE">
        <w:rPr>
          <w:b/>
          <w:bCs/>
          <w:lang w:val="fr-FR"/>
        </w:rPr>
        <w:t>’</w:t>
      </w:r>
      <w:r w:rsidRPr="00717BCE">
        <w:rPr>
          <w:b/>
          <w:bCs/>
          <w:lang w:val="fr-FR"/>
        </w:rPr>
        <w:t>être victimes d</w:t>
      </w:r>
      <w:r w:rsidRPr="00717BCE">
        <w:rPr>
          <w:b/>
          <w:bCs/>
          <w:lang w:val="fr-FR"/>
        </w:rPr>
        <w:t>’</w:t>
      </w:r>
      <w:r w:rsidRPr="00717BCE">
        <w:rPr>
          <w:b/>
          <w:bCs/>
          <w:lang w:val="fr-FR"/>
        </w:rPr>
        <w:t>exploitation sexuelle ;</w:t>
      </w:r>
    </w:p>
    <w:p w14:paraId="70E1A431" w14:textId="77EEAFF9" w:rsidR="00050CF5" w:rsidRPr="00717BCE" w:rsidRDefault="00050CF5" w:rsidP="00050CF5">
      <w:pPr>
        <w:pStyle w:val="SingleTxtG"/>
        <w:ind w:firstLine="567"/>
        <w:rPr>
          <w:b/>
          <w:bCs/>
          <w:lang w:val="fr-FR"/>
        </w:rPr>
      </w:pPr>
      <w:r w:rsidRPr="00717BCE">
        <w:rPr>
          <w:b/>
          <w:bCs/>
          <w:lang w:val="fr-FR"/>
        </w:rPr>
        <w:t>f)</w:t>
      </w:r>
      <w:r w:rsidRPr="00717BCE">
        <w:rPr>
          <w:b/>
          <w:bCs/>
          <w:lang w:val="fr-FR"/>
        </w:rPr>
        <w:tab/>
        <w:t>De donner suite aux conclusions de la Commission indépendante sur les abus sexuels dans l</w:t>
      </w:r>
      <w:r w:rsidRPr="00717BCE">
        <w:rPr>
          <w:b/>
          <w:bCs/>
          <w:lang w:val="fr-FR"/>
        </w:rPr>
        <w:t>’</w:t>
      </w:r>
      <w:r w:rsidRPr="00717BCE">
        <w:rPr>
          <w:b/>
          <w:bCs/>
          <w:lang w:val="fr-FR"/>
        </w:rPr>
        <w:t>Église et de l</w:t>
      </w:r>
      <w:r w:rsidRPr="00717BCE">
        <w:rPr>
          <w:b/>
          <w:bCs/>
          <w:lang w:val="fr-FR"/>
        </w:rPr>
        <w:t>’</w:t>
      </w:r>
      <w:r w:rsidRPr="00717BCE">
        <w:rPr>
          <w:b/>
          <w:bCs/>
          <w:lang w:val="fr-FR"/>
        </w:rPr>
        <w:t>Instance nationale indépendante de reconnaissance et de réparation, mise en place par des institutions religieuses, et de procéder, si nécessaire, à une enquête étatique indépendante sur les violations ;</w:t>
      </w:r>
    </w:p>
    <w:p w14:paraId="1B64E8B5" w14:textId="77777777" w:rsidR="00050CF5" w:rsidRPr="00717BCE" w:rsidRDefault="00050CF5" w:rsidP="00050CF5">
      <w:pPr>
        <w:pStyle w:val="SingleTxtG"/>
        <w:ind w:firstLine="567"/>
        <w:rPr>
          <w:b/>
          <w:bCs/>
          <w:lang w:val="fr-FR"/>
        </w:rPr>
      </w:pPr>
      <w:r w:rsidRPr="00717BCE">
        <w:rPr>
          <w:b/>
          <w:bCs/>
          <w:lang w:val="fr-FR"/>
        </w:rPr>
        <w:t>g)</w:t>
      </w:r>
      <w:r w:rsidRPr="00717BCE">
        <w:rPr>
          <w:b/>
          <w:bCs/>
          <w:lang w:val="fr-FR"/>
        </w:rPr>
        <w:tab/>
        <w:t>De supprimer les délais de prescription applicables aux abus sexuels sur enfants ;</w:t>
      </w:r>
    </w:p>
    <w:p w14:paraId="094039CE" w14:textId="5ED838AD" w:rsidR="00050CF5" w:rsidRPr="00717BCE" w:rsidRDefault="00050CF5" w:rsidP="00050CF5">
      <w:pPr>
        <w:pStyle w:val="SingleTxtG"/>
        <w:ind w:firstLine="567"/>
        <w:rPr>
          <w:b/>
          <w:bCs/>
          <w:lang w:val="fr-FR"/>
        </w:rPr>
      </w:pPr>
      <w:r w:rsidRPr="00717BCE">
        <w:rPr>
          <w:b/>
          <w:bCs/>
          <w:lang w:val="fr-FR"/>
        </w:rPr>
        <w:t>h)</w:t>
      </w:r>
      <w:r w:rsidRPr="00717BCE">
        <w:rPr>
          <w:b/>
          <w:bCs/>
          <w:lang w:val="fr-FR"/>
        </w:rPr>
        <w:tab/>
        <w:t>De redoubler d</w:t>
      </w:r>
      <w:r w:rsidRPr="00717BCE">
        <w:rPr>
          <w:b/>
          <w:bCs/>
          <w:lang w:val="fr-FR"/>
        </w:rPr>
        <w:t>’</w:t>
      </w:r>
      <w:r w:rsidRPr="00717BCE">
        <w:rPr>
          <w:b/>
          <w:bCs/>
          <w:lang w:val="fr-FR"/>
        </w:rPr>
        <w:t>efforts pour détecter les cas d</w:t>
      </w:r>
      <w:r w:rsidRPr="00717BCE">
        <w:rPr>
          <w:b/>
          <w:bCs/>
          <w:lang w:val="fr-FR"/>
        </w:rPr>
        <w:t>’</w:t>
      </w:r>
      <w:r w:rsidRPr="00717BCE">
        <w:rPr>
          <w:b/>
          <w:bCs/>
          <w:lang w:val="fr-FR"/>
        </w:rPr>
        <w:t>exploitation sexuelle d</w:t>
      </w:r>
      <w:r w:rsidRPr="00717BCE">
        <w:rPr>
          <w:b/>
          <w:bCs/>
          <w:lang w:val="fr-FR"/>
        </w:rPr>
        <w:t>’</w:t>
      </w:r>
      <w:r w:rsidRPr="00717BCE">
        <w:rPr>
          <w:b/>
          <w:bCs/>
          <w:lang w:val="fr-FR"/>
        </w:rPr>
        <w:t>enfants et d</w:t>
      </w:r>
      <w:r w:rsidRPr="00717BCE">
        <w:rPr>
          <w:b/>
          <w:bCs/>
          <w:lang w:val="fr-FR"/>
        </w:rPr>
        <w:t>’</w:t>
      </w:r>
      <w:r w:rsidRPr="00717BCE">
        <w:rPr>
          <w:b/>
          <w:bCs/>
          <w:lang w:val="fr-FR"/>
        </w:rPr>
        <w:t>abus sexuels sur enfants en ligne, enquêter sur ces infractions et les combattre ;</w:t>
      </w:r>
    </w:p>
    <w:p w14:paraId="7FF64356" w14:textId="166B63D1" w:rsidR="00050CF5" w:rsidRPr="00DC2178" w:rsidRDefault="00050CF5" w:rsidP="00050CF5">
      <w:pPr>
        <w:pStyle w:val="SingleTxtG"/>
        <w:ind w:firstLine="567"/>
        <w:rPr>
          <w:b/>
          <w:bCs/>
          <w:lang w:val="fr-FR"/>
        </w:rPr>
      </w:pPr>
      <w:r w:rsidRPr="00717BCE">
        <w:rPr>
          <w:b/>
          <w:bCs/>
          <w:lang w:val="fr-FR"/>
        </w:rPr>
        <w:t>i)</w:t>
      </w:r>
      <w:r w:rsidRPr="00717BCE">
        <w:rPr>
          <w:b/>
          <w:bCs/>
          <w:lang w:val="fr-FR"/>
        </w:rPr>
        <w:tab/>
      </w:r>
      <w:r>
        <w:rPr>
          <w:b/>
          <w:bCs/>
          <w:lang w:val="fr-FR"/>
        </w:rPr>
        <w:t>De veiller à ce que des données soient collectées sur tous les cas d</w:t>
      </w:r>
      <w:r>
        <w:rPr>
          <w:b/>
          <w:bCs/>
          <w:lang w:val="fr-FR"/>
        </w:rPr>
        <w:t>’</w:t>
      </w:r>
      <w:r>
        <w:rPr>
          <w:b/>
          <w:bCs/>
          <w:lang w:val="fr-FR"/>
        </w:rPr>
        <w:t>exploitation sexuelle d</w:t>
      </w:r>
      <w:r>
        <w:rPr>
          <w:b/>
          <w:bCs/>
          <w:lang w:val="fr-FR"/>
        </w:rPr>
        <w:t>’</w:t>
      </w:r>
      <w:r>
        <w:rPr>
          <w:b/>
          <w:bCs/>
          <w:lang w:val="fr-FR"/>
        </w:rPr>
        <w:t>enfants et d</w:t>
      </w:r>
      <w:r>
        <w:rPr>
          <w:b/>
          <w:bCs/>
          <w:lang w:val="fr-FR"/>
        </w:rPr>
        <w:t>’</w:t>
      </w:r>
      <w:r>
        <w:rPr>
          <w:b/>
          <w:bCs/>
          <w:lang w:val="fr-FR"/>
        </w:rPr>
        <w:t>abus sexuels sur enfants.</w:t>
      </w:r>
    </w:p>
    <w:p w14:paraId="25824097" w14:textId="77777777" w:rsidR="00050CF5" w:rsidRPr="00DC2178" w:rsidRDefault="00050CF5" w:rsidP="00050CF5">
      <w:pPr>
        <w:pStyle w:val="H23G"/>
        <w:rPr>
          <w:bCs/>
          <w:lang w:val="fr-FR"/>
        </w:rPr>
      </w:pPr>
      <w:r>
        <w:rPr>
          <w:lang w:val="fr-FR"/>
        </w:rPr>
        <w:tab/>
      </w:r>
      <w:r>
        <w:rPr>
          <w:lang w:val="fr-FR"/>
        </w:rPr>
        <w:tab/>
      </w:r>
      <w:r>
        <w:rPr>
          <w:bCs/>
          <w:lang w:val="fr-FR"/>
        </w:rPr>
        <w:t>Abus sexuels commis par des militaires français</w:t>
      </w:r>
    </w:p>
    <w:p w14:paraId="10F4AE8F" w14:textId="67A60B01" w:rsidR="00050CF5" w:rsidRPr="00627FF3" w:rsidRDefault="00050CF5" w:rsidP="00050CF5">
      <w:pPr>
        <w:pStyle w:val="SingleTxtG"/>
        <w:rPr>
          <w:b/>
          <w:bCs/>
          <w:spacing w:val="-2"/>
          <w:lang w:val="fr-FR"/>
        </w:rPr>
      </w:pPr>
      <w:r w:rsidRPr="00627FF3">
        <w:rPr>
          <w:spacing w:val="-2"/>
          <w:lang w:val="fr-FR"/>
        </w:rPr>
        <w:t>29.</w:t>
      </w:r>
      <w:r w:rsidRPr="00627FF3">
        <w:rPr>
          <w:spacing w:val="-2"/>
          <w:lang w:val="fr-FR"/>
        </w:rPr>
        <w:tab/>
      </w:r>
      <w:r w:rsidRPr="00627FF3">
        <w:rPr>
          <w:b/>
          <w:bCs/>
          <w:spacing w:val="-2"/>
          <w:lang w:val="fr-FR"/>
        </w:rPr>
        <w:t>Le Comité est préoccupé par la lenteur des enquêtes concernant les accusations d</w:t>
      </w:r>
      <w:r w:rsidRPr="00627FF3">
        <w:rPr>
          <w:b/>
          <w:bCs/>
          <w:spacing w:val="-2"/>
          <w:lang w:val="fr-FR"/>
        </w:rPr>
        <w:t>’</w:t>
      </w:r>
      <w:r w:rsidRPr="00627FF3">
        <w:rPr>
          <w:b/>
          <w:bCs/>
          <w:spacing w:val="-2"/>
          <w:lang w:val="fr-FR"/>
        </w:rPr>
        <w:t>exploitation sexuelle et d</w:t>
      </w:r>
      <w:r w:rsidRPr="00627FF3">
        <w:rPr>
          <w:b/>
          <w:bCs/>
          <w:spacing w:val="-2"/>
          <w:lang w:val="fr-FR"/>
        </w:rPr>
        <w:t>’</w:t>
      </w:r>
      <w:r w:rsidRPr="00627FF3">
        <w:rPr>
          <w:b/>
          <w:bCs/>
          <w:spacing w:val="-2"/>
          <w:lang w:val="fr-FR"/>
        </w:rPr>
        <w:t>abus sexuels visant des militaires français déployés à l</w:t>
      </w:r>
      <w:r w:rsidRPr="00627FF3">
        <w:rPr>
          <w:b/>
          <w:bCs/>
          <w:spacing w:val="-2"/>
          <w:lang w:val="fr-FR"/>
        </w:rPr>
        <w:t>’</w:t>
      </w:r>
      <w:r w:rsidRPr="00627FF3">
        <w:rPr>
          <w:b/>
          <w:bCs/>
          <w:spacing w:val="-2"/>
          <w:lang w:val="fr-FR"/>
        </w:rPr>
        <w:t>étranger et par l</w:t>
      </w:r>
      <w:r w:rsidRPr="00627FF3">
        <w:rPr>
          <w:b/>
          <w:bCs/>
          <w:spacing w:val="-2"/>
          <w:lang w:val="fr-FR"/>
        </w:rPr>
        <w:t>’</w:t>
      </w:r>
      <w:r w:rsidRPr="00627FF3">
        <w:rPr>
          <w:b/>
          <w:bCs/>
          <w:spacing w:val="-2"/>
          <w:lang w:val="fr-FR"/>
        </w:rPr>
        <w:t>absence de suivi en la matière et regrette que l</w:t>
      </w:r>
      <w:r w:rsidRPr="00627FF3">
        <w:rPr>
          <w:b/>
          <w:bCs/>
          <w:spacing w:val="-2"/>
          <w:lang w:val="fr-FR"/>
        </w:rPr>
        <w:t>’</w:t>
      </w:r>
      <w:r w:rsidRPr="00627FF3">
        <w:rPr>
          <w:b/>
          <w:bCs/>
          <w:spacing w:val="-2"/>
          <w:lang w:val="fr-FR"/>
        </w:rPr>
        <w:t>État partie n</w:t>
      </w:r>
      <w:r w:rsidRPr="00627FF3">
        <w:rPr>
          <w:b/>
          <w:bCs/>
          <w:spacing w:val="-2"/>
          <w:lang w:val="fr-FR"/>
        </w:rPr>
        <w:t>’</w:t>
      </w:r>
      <w:r w:rsidRPr="00627FF3">
        <w:rPr>
          <w:b/>
          <w:bCs/>
          <w:spacing w:val="-2"/>
          <w:lang w:val="fr-FR"/>
        </w:rPr>
        <w:t>ait pas fourni suffisamment d</w:t>
      </w:r>
      <w:r w:rsidRPr="00627FF3">
        <w:rPr>
          <w:b/>
          <w:bCs/>
          <w:spacing w:val="-2"/>
          <w:lang w:val="fr-FR"/>
        </w:rPr>
        <w:t>’</w:t>
      </w:r>
      <w:r w:rsidRPr="00627FF3">
        <w:rPr>
          <w:b/>
          <w:bCs/>
          <w:spacing w:val="-2"/>
          <w:lang w:val="fr-FR"/>
        </w:rPr>
        <w:t>informations sur l</w:t>
      </w:r>
      <w:r w:rsidRPr="00627FF3">
        <w:rPr>
          <w:b/>
          <w:bCs/>
          <w:spacing w:val="-2"/>
          <w:lang w:val="fr-FR"/>
        </w:rPr>
        <w:t>’</w:t>
      </w:r>
      <w:r w:rsidRPr="00627FF3">
        <w:rPr>
          <w:b/>
          <w:bCs/>
          <w:spacing w:val="-2"/>
          <w:lang w:val="fr-FR"/>
        </w:rPr>
        <w:t>issue des procédures engagées en réponse aux accusations formulées en République centrafricaine, lesquelles procédures ont été classées sans suite.</w:t>
      </w:r>
      <w:r w:rsidRPr="00627FF3">
        <w:rPr>
          <w:spacing w:val="-2"/>
          <w:lang w:val="fr-FR"/>
        </w:rPr>
        <w:t xml:space="preserve"> </w:t>
      </w:r>
      <w:r w:rsidRPr="00627FF3">
        <w:rPr>
          <w:b/>
          <w:bCs/>
          <w:spacing w:val="-2"/>
          <w:lang w:val="fr-FR"/>
        </w:rPr>
        <w:t>Il recommande à l</w:t>
      </w:r>
      <w:r w:rsidRPr="00627FF3">
        <w:rPr>
          <w:b/>
          <w:bCs/>
          <w:spacing w:val="-2"/>
          <w:lang w:val="fr-FR"/>
        </w:rPr>
        <w:t>’</w:t>
      </w:r>
      <w:r w:rsidRPr="00627FF3">
        <w:rPr>
          <w:b/>
          <w:bCs/>
          <w:spacing w:val="-2"/>
          <w:lang w:val="fr-FR"/>
        </w:rPr>
        <w:t>État partie de veiller à ce que l</w:t>
      </w:r>
      <w:r w:rsidRPr="00627FF3">
        <w:rPr>
          <w:b/>
          <w:bCs/>
          <w:spacing w:val="-2"/>
          <w:lang w:val="fr-FR"/>
        </w:rPr>
        <w:t>’</w:t>
      </w:r>
      <w:r w:rsidRPr="00627FF3">
        <w:rPr>
          <w:b/>
          <w:bCs/>
          <w:spacing w:val="-2"/>
          <w:lang w:val="fr-FR"/>
        </w:rPr>
        <w:t>enquête ouverte en 2016 soit conclue sans plus tarder.</w:t>
      </w:r>
      <w:r w:rsidRPr="00627FF3">
        <w:rPr>
          <w:spacing w:val="-2"/>
          <w:lang w:val="fr-FR"/>
        </w:rPr>
        <w:t xml:space="preserve"> </w:t>
      </w:r>
      <w:r w:rsidRPr="00627FF3">
        <w:rPr>
          <w:b/>
          <w:bCs/>
          <w:spacing w:val="-2"/>
          <w:lang w:val="fr-FR"/>
        </w:rPr>
        <w:t>Il lui recommande également d</w:t>
      </w:r>
      <w:r w:rsidRPr="00627FF3">
        <w:rPr>
          <w:b/>
          <w:bCs/>
          <w:spacing w:val="-2"/>
          <w:lang w:val="fr-FR"/>
        </w:rPr>
        <w:t>’</w:t>
      </w:r>
      <w:r w:rsidRPr="00627FF3">
        <w:rPr>
          <w:b/>
          <w:bCs/>
          <w:spacing w:val="-2"/>
          <w:lang w:val="fr-FR"/>
        </w:rPr>
        <w:t xml:space="preserve">apporter un soutien constant, notamment un soutien </w:t>
      </w:r>
      <w:proofErr w:type="spellStart"/>
      <w:r w:rsidRPr="00627FF3">
        <w:rPr>
          <w:b/>
          <w:bCs/>
          <w:spacing w:val="-2"/>
          <w:lang w:val="fr-FR"/>
        </w:rPr>
        <w:t>psychosocial</w:t>
      </w:r>
      <w:proofErr w:type="spellEnd"/>
      <w:r w:rsidRPr="00627FF3">
        <w:rPr>
          <w:b/>
          <w:bCs/>
          <w:spacing w:val="-2"/>
          <w:lang w:val="fr-FR"/>
        </w:rPr>
        <w:t>, aux enfants victimes et de leur accorder des indemnisations financières et d</w:t>
      </w:r>
      <w:r w:rsidRPr="00627FF3">
        <w:rPr>
          <w:b/>
          <w:bCs/>
          <w:spacing w:val="-2"/>
          <w:lang w:val="fr-FR"/>
        </w:rPr>
        <w:t>’</w:t>
      </w:r>
      <w:r w:rsidRPr="00627FF3">
        <w:rPr>
          <w:b/>
          <w:bCs/>
          <w:spacing w:val="-2"/>
          <w:lang w:val="fr-FR"/>
        </w:rPr>
        <w:t>autres types de réparation, et de renforcer les mesures de prévention pour faire en sorte que les droits des enfants soient respectés et protégés.</w:t>
      </w:r>
    </w:p>
    <w:p w14:paraId="15D9654A" w14:textId="77777777" w:rsidR="00050CF5" w:rsidRPr="00DC2178" w:rsidRDefault="00050CF5" w:rsidP="00050CF5">
      <w:pPr>
        <w:pStyle w:val="H23G"/>
        <w:rPr>
          <w:rFonts w:eastAsia="Malgun Gothic"/>
          <w:bCs/>
          <w:lang w:val="fr-FR"/>
        </w:rPr>
      </w:pPr>
      <w:r>
        <w:rPr>
          <w:lang w:val="fr-FR"/>
        </w:rPr>
        <w:tab/>
      </w:r>
      <w:r>
        <w:rPr>
          <w:lang w:val="fr-FR"/>
        </w:rPr>
        <w:tab/>
      </w:r>
      <w:r>
        <w:rPr>
          <w:bCs/>
          <w:lang w:val="fr-FR"/>
        </w:rPr>
        <w:t>Pratiques préjudiciables</w:t>
      </w:r>
    </w:p>
    <w:p w14:paraId="500F8A58" w14:textId="1BF9107D" w:rsidR="00050CF5" w:rsidRPr="00DC2178" w:rsidRDefault="00050CF5" w:rsidP="00050CF5">
      <w:pPr>
        <w:pStyle w:val="SingleTxtG"/>
        <w:rPr>
          <w:b/>
          <w:bCs/>
          <w:lang w:val="fr-FR"/>
        </w:rPr>
      </w:pPr>
      <w:r>
        <w:rPr>
          <w:lang w:val="fr-FR"/>
        </w:rPr>
        <w:t>30.</w:t>
      </w:r>
      <w:r>
        <w:rPr>
          <w:lang w:val="fr-FR"/>
        </w:rPr>
        <w:tab/>
      </w:r>
      <w:r>
        <w:rPr>
          <w:b/>
          <w:bCs/>
          <w:lang w:val="fr-FR"/>
        </w:rPr>
        <w:t>Prenant note du premier Plan national d</w:t>
      </w:r>
      <w:r>
        <w:rPr>
          <w:b/>
          <w:bCs/>
          <w:lang w:val="fr-FR"/>
        </w:rPr>
        <w:t>’</w:t>
      </w:r>
      <w:r>
        <w:rPr>
          <w:b/>
          <w:bCs/>
          <w:lang w:val="fr-FR"/>
        </w:rPr>
        <w:t xml:space="preserve">action visant à éradiquer les mutilations sexuelles féminines (2019-2022), le Comité renvoie à la recommandation générale </w:t>
      </w:r>
      <w:r w:rsidR="00717BCE" w:rsidRPr="00D46FD4">
        <w:rPr>
          <w:rFonts w:eastAsia="MS Mincho"/>
          <w:b/>
          <w:bCs/>
          <w:szCs w:val="22"/>
          <w:lang w:val="fr-FR"/>
        </w:rPr>
        <w:t>n</w:t>
      </w:r>
      <w:r w:rsidR="00717BCE" w:rsidRPr="00D46FD4">
        <w:rPr>
          <w:rFonts w:eastAsia="MS Mincho"/>
          <w:b/>
          <w:bCs/>
          <w:szCs w:val="22"/>
          <w:vertAlign w:val="superscript"/>
          <w:lang w:val="fr-FR"/>
        </w:rPr>
        <w:t>o</w:t>
      </w:r>
      <w:r w:rsidR="00717BCE">
        <w:rPr>
          <w:b/>
          <w:bCs/>
          <w:lang w:val="fr-FR"/>
        </w:rPr>
        <w:t> </w:t>
      </w:r>
      <w:r>
        <w:rPr>
          <w:b/>
          <w:bCs/>
          <w:lang w:val="fr-FR"/>
        </w:rPr>
        <w:t>31 du Comité pour l</w:t>
      </w:r>
      <w:r>
        <w:rPr>
          <w:b/>
          <w:bCs/>
          <w:lang w:val="fr-FR"/>
        </w:rPr>
        <w:t>’</w:t>
      </w:r>
      <w:r>
        <w:rPr>
          <w:b/>
          <w:bCs/>
          <w:lang w:val="fr-FR"/>
        </w:rPr>
        <w:t>élimination de la discrimination à l</w:t>
      </w:r>
      <w:r>
        <w:rPr>
          <w:b/>
          <w:bCs/>
          <w:lang w:val="fr-FR"/>
        </w:rPr>
        <w:t>’</w:t>
      </w:r>
      <w:r>
        <w:rPr>
          <w:b/>
          <w:bCs/>
          <w:lang w:val="fr-FR"/>
        </w:rPr>
        <w:t>égard des femmes et à l</w:t>
      </w:r>
      <w:r>
        <w:rPr>
          <w:b/>
          <w:bCs/>
          <w:lang w:val="fr-FR"/>
        </w:rPr>
        <w:t>’</w:t>
      </w:r>
      <w:r>
        <w:rPr>
          <w:b/>
          <w:bCs/>
          <w:lang w:val="fr-FR"/>
        </w:rPr>
        <w:t xml:space="preserve">observation générale </w:t>
      </w:r>
      <w:r w:rsidR="00717BCE" w:rsidRPr="00D46FD4">
        <w:rPr>
          <w:rFonts w:eastAsia="MS Mincho"/>
          <w:b/>
          <w:bCs/>
          <w:szCs w:val="22"/>
          <w:lang w:val="fr-FR"/>
        </w:rPr>
        <w:t>n</w:t>
      </w:r>
      <w:r w:rsidR="00717BCE" w:rsidRPr="00D46FD4">
        <w:rPr>
          <w:rFonts w:eastAsia="MS Mincho"/>
          <w:b/>
          <w:bCs/>
          <w:szCs w:val="22"/>
          <w:vertAlign w:val="superscript"/>
          <w:lang w:val="fr-FR"/>
        </w:rPr>
        <w:t>o</w:t>
      </w:r>
      <w:r w:rsidR="00717BCE">
        <w:rPr>
          <w:b/>
          <w:bCs/>
          <w:lang w:val="fr-FR"/>
        </w:rPr>
        <w:t> </w:t>
      </w:r>
      <w:r>
        <w:rPr>
          <w:b/>
          <w:bCs/>
          <w:lang w:val="fr-FR"/>
        </w:rPr>
        <w:t>18 du Comité des droits de l</w:t>
      </w:r>
      <w:r>
        <w:rPr>
          <w:b/>
          <w:bCs/>
          <w:lang w:val="fr-FR"/>
        </w:rPr>
        <w:t>’</w:t>
      </w:r>
      <w:r>
        <w:rPr>
          <w:b/>
          <w:bCs/>
          <w:lang w:val="fr-FR"/>
        </w:rPr>
        <w:t>enfant sur les pratiques préjudiciables, adoptées conjointement (2019), rappelle la cible 5.3 des objectifs de développement durable et recommande à l</w:t>
      </w:r>
      <w:r>
        <w:rPr>
          <w:b/>
          <w:bCs/>
          <w:lang w:val="fr-FR"/>
        </w:rPr>
        <w:t>’</w:t>
      </w:r>
      <w:r>
        <w:rPr>
          <w:b/>
          <w:bCs/>
          <w:lang w:val="fr-FR"/>
        </w:rPr>
        <w:t>État partie :</w:t>
      </w:r>
    </w:p>
    <w:p w14:paraId="7F3B303A" w14:textId="537E8C7D" w:rsidR="00050CF5" w:rsidRPr="00717BCE" w:rsidRDefault="00050CF5" w:rsidP="00050CF5">
      <w:pPr>
        <w:pStyle w:val="SingleTxtG"/>
        <w:ind w:firstLine="567"/>
        <w:rPr>
          <w:b/>
          <w:bCs/>
          <w:lang w:val="fr-FR"/>
        </w:rPr>
      </w:pPr>
      <w:r w:rsidRPr="00717BCE">
        <w:rPr>
          <w:b/>
          <w:bCs/>
          <w:lang w:val="fr-FR"/>
        </w:rPr>
        <w:t>a)</w:t>
      </w:r>
      <w:r w:rsidRPr="00717BCE">
        <w:rPr>
          <w:b/>
          <w:bCs/>
          <w:lang w:val="fr-FR"/>
        </w:rPr>
        <w:tab/>
        <w:t>De poursuivre ses efforts pour éliminer les mutilations génitales féminines, en évaluant l</w:t>
      </w:r>
      <w:r w:rsidRPr="00717BCE">
        <w:rPr>
          <w:b/>
          <w:bCs/>
          <w:lang w:val="fr-FR"/>
        </w:rPr>
        <w:t>’</w:t>
      </w:r>
      <w:r w:rsidRPr="00717BCE">
        <w:rPr>
          <w:b/>
          <w:bCs/>
          <w:lang w:val="fr-FR"/>
        </w:rPr>
        <w:t>application du premier Plan national d</w:t>
      </w:r>
      <w:r w:rsidRPr="00717BCE">
        <w:rPr>
          <w:b/>
          <w:bCs/>
          <w:lang w:val="fr-FR"/>
        </w:rPr>
        <w:t>’</w:t>
      </w:r>
      <w:r w:rsidRPr="00717BCE">
        <w:rPr>
          <w:b/>
          <w:bCs/>
          <w:lang w:val="fr-FR"/>
        </w:rPr>
        <w:t xml:space="preserve">action et en continuant de </w:t>
      </w:r>
      <w:r w:rsidRPr="00717BCE">
        <w:rPr>
          <w:b/>
          <w:bCs/>
          <w:lang w:val="fr-FR"/>
        </w:rPr>
        <w:lastRenderedPageBreak/>
        <w:t>sensibiliser les filles qui risquent de subir de telles mutilations, les communautés, les professionnels de la santé, les travailleurs sociaux, les policiers, les gendarmes, les juges et les procureurs ;</w:t>
      </w:r>
    </w:p>
    <w:p w14:paraId="1CB60E3E" w14:textId="6C23C6E1" w:rsidR="00050CF5" w:rsidRPr="00717BCE" w:rsidRDefault="00050CF5" w:rsidP="00050CF5">
      <w:pPr>
        <w:pStyle w:val="SingleTxtG"/>
        <w:ind w:firstLine="567"/>
        <w:rPr>
          <w:b/>
          <w:bCs/>
          <w:lang w:val="fr-FR"/>
        </w:rPr>
      </w:pPr>
      <w:r w:rsidRPr="00717BCE">
        <w:rPr>
          <w:b/>
          <w:bCs/>
          <w:lang w:val="fr-FR"/>
        </w:rPr>
        <w:t>b)</w:t>
      </w:r>
      <w:r w:rsidRPr="00717BCE">
        <w:rPr>
          <w:b/>
          <w:bCs/>
          <w:lang w:val="fr-FR"/>
        </w:rPr>
        <w:tab/>
        <w:t>De fournir des services sociaux, médicaux et psychologiques adéquats, des services d</w:t>
      </w:r>
      <w:r w:rsidRPr="00717BCE">
        <w:rPr>
          <w:b/>
          <w:bCs/>
          <w:lang w:val="fr-FR"/>
        </w:rPr>
        <w:t>’</w:t>
      </w:r>
      <w:r w:rsidRPr="00717BCE">
        <w:rPr>
          <w:b/>
          <w:bCs/>
          <w:lang w:val="fr-FR"/>
        </w:rPr>
        <w:t xml:space="preserve">accompagnement et un soutien aux enfants </w:t>
      </w:r>
      <w:proofErr w:type="spellStart"/>
      <w:r w:rsidRPr="00717BCE">
        <w:rPr>
          <w:b/>
          <w:bCs/>
          <w:lang w:val="fr-FR"/>
        </w:rPr>
        <w:t>intersexes</w:t>
      </w:r>
      <w:proofErr w:type="spellEnd"/>
      <w:r w:rsidRPr="00717BCE">
        <w:rPr>
          <w:b/>
          <w:bCs/>
          <w:lang w:val="fr-FR"/>
        </w:rPr>
        <w:t xml:space="preserve"> et à leur famille, de veiller à ce que le consentement des enfants soit demandé, dans toute la mesure possible, lors de la prise de décisions concernant leur traitement et leur prise en charge et à ce qu</w:t>
      </w:r>
      <w:r w:rsidRPr="00717BCE">
        <w:rPr>
          <w:b/>
          <w:bCs/>
          <w:lang w:val="fr-FR"/>
        </w:rPr>
        <w:t>’</w:t>
      </w:r>
      <w:r w:rsidRPr="00717BCE">
        <w:rPr>
          <w:b/>
          <w:bCs/>
          <w:lang w:val="fr-FR"/>
        </w:rPr>
        <w:t>aucun enfant ne soit soumis à une intervention chirurgicale ou à un traitement non nécessaires ;</w:t>
      </w:r>
    </w:p>
    <w:p w14:paraId="0F4D2D07" w14:textId="77777777" w:rsidR="00050CF5" w:rsidRPr="00DC2178" w:rsidRDefault="00050CF5" w:rsidP="00050CF5">
      <w:pPr>
        <w:pStyle w:val="SingleTxtG"/>
        <w:ind w:firstLine="567"/>
        <w:rPr>
          <w:b/>
          <w:bCs/>
          <w:lang w:val="fr-FR"/>
        </w:rPr>
      </w:pPr>
      <w:r w:rsidRPr="00717BCE">
        <w:rPr>
          <w:b/>
          <w:bCs/>
          <w:lang w:val="fr-FR"/>
        </w:rPr>
        <w:t>c)</w:t>
      </w:r>
      <w:r w:rsidRPr="00717BCE">
        <w:rPr>
          <w:b/>
          <w:bCs/>
          <w:lang w:val="fr-FR"/>
        </w:rPr>
        <w:tab/>
        <w:t>De sensibiliser et de former les médecins et les psychologues à la diversité sexuelle et</w:t>
      </w:r>
      <w:r>
        <w:rPr>
          <w:b/>
          <w:bCs/>
          <w:lang w:val="fr-FR"/>
        </w:rPr>
        <w:t xml:space="preserve"> à ses aspects biologiques et physiques et aux conséquences que peuvent avoir pour les enfants </w:t>
      </w:r>
      <w:proofErr w:type="spellStart"/>
      <w:r>
        <w:rPr>
          <w:b/>
          <w:bCs/>
          <w:lang w:val="fr-FR"/>
        </w:rPr>
        <w:t>intersexes</w:t>
      </w:r>
      <w:proofErr w:type="spellEnd"/>
      <w:r>
        <w:rPr>
          <w:b/>
          <w:bCs/>
          <w:lang w:val="fr-FR"/>
        </w:rPr>
        <w:t xml:space="preserve"> des interventions chirurgicales et autres traitements médicaux non nécessaires.</w:t>
      </w:r>
    </w:p>
    <w:p w14:paraId="1EC52A7B" w14:textId="6AE8F27E" w:rsidR="00050CF5" w:rsidRPr="00DC2178" w:rsidRDefault="00717BCE" w:rsidP="00050CF5">
      <w:pPr>
        <w:pStyle w:val="H1G"/>
        <w:rPr>
          <w:bCs/>
          <w:lang w:val="fr-FR"/>
        </w:rPr>
      </w:pPr>
      <w:r>
        <w:rPr>
          <w:bCs/>
          <w:lang w:val="fr-FR"/>
        </w:rPr>
        <w:tab/>
      </w:r>
      <w:r w:rsidR="00050CF5">
        <w:rPr>
          <w:bCs/>
          <w:lang w:val="fr-FR"/>
        </w:rPr>
        <w:t>E.</w:t>
      </w:r>
      <w:r w:rsidR="00050CF5">
        <w:rPr>
          <w:lang w:val="fr-FR"/>
        </w:rPr>
        <w:tab/>
      </w:r>
      <w:r w:rsidR="00050CF5">
        <w:rPr>
          <w:bCs/>
          <w:lang w:val="fr-FR"/>
        </w:rPr>
        <w:t xml:space="preserve">Milieu familial et protection de remplacement (art. 5, 9 à 11, </w:t>
      </w:r>
      <w:r>
        <w:rPr>
          <w:bCs/>
          <w:lang w:val="fr-FR"/>
        </w:rPr>
        <w:br/>
      </w:r>
      <w:r w:rsidR="00050CF5">
        <w:rPr>
          <w:bCs/>
          <w:lang w:val="fr-FR"/>
        </w:rPr>
        <w:t>18 (par. 1 et 2), 20, 21, 25 et 27 (par. 4))</w:t>
      </w:r>
    </w:p>
    <w:p w14:paraId="0CFB685C" w14:textId="77777777" w:rsidR="00050CF5" w:rsidRPr="00DC2178" w:rsidRDefault="00050CF5" w:rsidP="00050CF5">
      <w:pPr>
        <w:pStyle w:val="H23G"/>
        <w:rPr>
          <w:bCs/>
          <w:lang w:val="fr-FR"/>
        </w:rPr>
      </w:pPr>
      <w:r>
        <w:rPr>
          <w:lang w:val="fr-FR"/>
        </w:rPr>
        <w:tab/>
      </w:r>
      <w:r>
        <w:rPr>
          <w:lang w:val="fr-FR"/>
        </w:rPr>
        <w:tab/>
      </w:r>
      <w:r>
        <w:rPr>
          <w:bCs/>
          <w:lang w:val="fr-FR"/>
        </w:rPr>
        <w:t>Milieu familial</w:t>
      </w:r>
    </w:p>
    <w:p w14:paraId="23DF4353" w14:textId="04B434D1" w:rsidR="00050CF5" w:rsidRPr="00DC2178" w:rsidRDefault="00050CF5" w:rsidP="00050CF5">
      <w:pPr>
        <w:pStyle w:val="SingleTxtG"/>
        <w:rPr>
          <w:b/>
          <w:bCs/>
          <w:lang w:val="fr-FR"/>
        </w:rPr>
      </w:pPr>
      <w:r>
        <w:rPr>
          <w:lang w:val="fr-FR"/>
        </w:rPr>
        <w:t>31.</w:t>
      </w:r>
      <w:r>
        <w:rPr>
          <w:lang w:val="fr-FR"/>
        </w:rPr>
        <w:tab/>
      </w:r>
      <w:r>
        <w:rPr>
          <w:b/>
          <w:bCs/>
          <w:lang w:val="fr-FR"/>
        </w:rPr>
        <w:t>Le Comité prend note de l</w:t>
      </w:r>
      <w:r>
        <w:rPr>
          <w:b/>
          <w:bCs/>
          <w:lang w:val="fr-FR"/>
        </w:rPr>
        <w:t>’</w:t>
      </w:r>
      <w:r>
        <w:rPr>
          <w:b/>
          <w:bCs/>
          <w:lang w:val="fr-FR"/>
        </w:rPr>
        <w:t>adoption de la</w:t>
      </w:r>
      <w:r>
        <w:rPr>
          <w:lang w:val="fr-FR"/>
        </w:rPr>
        <w:t xml:space="preserve"> </w:t>
      </w:r>
      <w:r>
        <w:rPr>
          <w:b/>
          <w:bCs/>
          <w:lang w:val="fr-FR"/>
        </w:rPr>
        <w:t>Stratégie nationale de soutien à la parentalité (2018-2022) et recommande à l</w:t>
      </w:r>
      <w:r>
        <w:rPr>
          <w:b/>
          <w:bCs/>
          <w:lang w:val="fr-FR"/>
        </w:rPr>
        <w:t>’</w:t>
      </w:r>
      <w:r>
        <w:rPr>
          <w:b/>
          <w:bCs/>
          <w:lang w:val="fr-FR"/>
        </w:rPr>
        <w:t>État partie :</w:t>
      </w:r>
    </w:p>
    <w:p w14:paraId="47269FF1" w14:textId="5F59F1A7" w:rsidR="00050CF5" w:rsidRPr="00717BCE" w:rsidRDefault="00050CF5" w:rsidP="00050CF5">
      <w:pPr>
        <w:pStyle w:val="SingleTxtG"/>
        <w:ind w:firstLine="567"/>
        <w:rPr>
          <w:b/>
          <w:bCs/>
          <w:lang w:val="fr-FR"/>
        </w:rPr>
      </w:pPr>
      <w:r w:rsidRPr="00717BCE">
        <w:rPr>
          <w:b/>
          <w:bCs/>
          <w:lang w:val="fr-FR"/>
        </w:rPr>
        <w:t>a)</w:t>
      </w:r>
      <w:r w:rsidRPr="00717BCE">
        <w:rPr>
          <w:b/>
          <w:bCs/>
          <w:lang w:val="fr-FR"/>
        </w:rPr>
        <w:tab/>
        <w:t>De prendre des mesures pour évaluer l</w:t>
      </w:r>
      <w:r w:rsidRPr="00717BCE">
        <w:rPr>
          <w:b/>
          <w:bCs/>
          <w:lang w:val="fr-FR"/>
        </w:rPr>
        <w:t>’</w:t>
      </w:r>
      <w:r w:rsidRPr="00717BCE">
        <w:rPr>
          <w:b/>
          <w:bCs/>
          <w:lang w:val="fr-FR"/>
        </w:rPr>
        <w:t>application de la Stratégie et renforcer la coordination et la visibilité des systèmes de soutien à la parentalité sur l</w:t>
      </w:r>
      <w:r w:rsidRPr="00717BCE">
        <w:rPr>
          <w:b/>
          <w:bCs/>
          <w:lang w:val="fr-FR"/>
        </w:rPr>
        <w:t>’</w:t>
      </w:r>
      <w:r w:rsidRPr="00717BCE">
        <w:rPr>
          <w:b/>
          <w:bCs/>
          <w:lang w:val="fr-FR"/>
        </w:rPr>
        <w:t>ensemble de son territoire ;</w:t>
      </w:r>
    </w:p>
    <w:p w14:paraId="2FD2C3C2" w14:textId="77777777" w:rsidR="00050CF5" w:rsidRPr="00717BCE" w:rsidRDefault="00050CF5" w:rsidP="00050CF5">
      <w:pPr>
        <w:pStyle w:val="SingleTxtG"/>
        <w:ind w:firstLine="567"/>
        <w:rPr>
          <w:b/>
          <w:bCs/>
          <w:lang w:val="fr-FR"/>
        </w:rPr>
      </w:pPr>
      <w:r w:rsidRPr="00717BCE">
        <w:rPr>
          <w:b/>
          <w:bCs/>
          <w:lang w:val="fr-FR"/>
        </w:rPr>
        <w:t>b)</w:t>
      </w:r>
      <w:r w:rsidRPr="00717BCE">
        <w:rPr>
          <w:b/>
          <w:bCs/>
          <w:lang w:val="fr-FR"/>
        </w:rPr>
        <w:tab/>
        <w:t>De continuer à augmenter les fonds alloués aux interventions précoces et au soutien aux familles en situation difficile, en particulier les familles monoparentales, les familles isolées et les familles qui vivent dans la précarité, et dispenser une formation appropriée aux travailleurs sociaux, aux juges et aux autres professionnels concernés ;</w:t>
      </w:r>
    </w:p>
    <w:p w14:paraId="43ACAFD6" w14:textId="27F5C257" w:rsidR="00050CF5" w:rsidRPr="00DC2178" w:rsidRDefault="00050CF5" w:rsidP="00050CF5">
      <w:pPr>
        <w:pStyle w:val="SingleTxtG"/>
        <w:ind w:firstLine="567"/>
        <w:rPr>
          <w:b/>
          <w:bCs/>
          <w:lang w:val="fr-FR"/>
        </w:rPr>
      </w:pPr>
      <w:r w:rsidRPr="00717BCE">
        <w:rPr>
          <w:b/>
          <w:bCs/>
          <w:lang w:val="fr-FR"/>
        </w:rPr>
        <w:t>c)</w:t>
      </w:r>
      <w:r>
        <w:rPr>
          <w:lang w:val="fr-FR"/>
        </w:rPr>
        <w:tab/>
      </w:r>
      <w:r>
        <w:rPr>
          <w:b/>
          <w:bCs/>
          <w:lang w:val="fr-FR"/>
        </w:rPr>
        <w:t>De remplacer dans sa législation et ses politiques l</w:t>
      </w:r>
      <w:r>
        <w:rPr>
          <w:b/>
          <w:bCs/>
          <w:lang w:val="fr-FR"/>
        </w:rPr>
        <w:t>’</w:t>
      </w:r>
      <w:r>
        <w:rPr>
          <w:b/>
          <w:bCs/>
          <w:lang w:val="fr-FR"/>
        </w:rPr>
        <w:t>expression « autorité parentale » par « responsabilité parentale » ou un terme similaire, dans le respect d</w:t>
      </w:r>
      <w:r>
        <w:rPr>
          <w:b/>
          <w:bCs/>
          <w:lang w:val="fr-FR"/>
        </w:rPr>
        <w:t>’</w:t>
      </w:r>
      <w:r>
        <w:rPr>
          <w:b/>
          <w:bCs/>
          <w:lang w:val="fr-FR"/>
        </w:rPr>
        <w:t>une approche fondée sur les droits de l</w:t>
      </w:r>
      <w:r>
        <w:rPr>
          <w:b/>
          <w:bCs/>
          <w:lang w:val="fr-FR"/>
        </w:rPr>
        <w:t>’</w:t>
      </w:r>
      <w:r>
        <w:rPr>
          <w:b/>
          <w:bCs/>
          <w:lang w:val="fr-FR"/>
        </w:rPr>
        <w:t>enfant.</w:t>
      </w:r>
    </w:p>
    <w:p w14:paraId="52E26DB9" w14:textId="77777777" w:rsidR="00050CF5" w:rsidRPr="00DC2178" w:rsidRDefault="00050CF5" w:rsidP="00050CF5">
      <w:pPr>
        <w:pStyle w:val="H23G"/>
        <w:rPr>
          <w:lang w:val="fr-FR"/>
        </w:rPr>
      </w:pPr>
      <w:r>
        <w:rPr>
          <w:lang w:val="fr-FR"/>
        </w:rPr>
        <w:tab/>
      </w:r>
      <w:r>
        <w:rPr>
          <w:lang w:val="fr-FR"/>
        </w:rPr>
        <w:tab/>
      </w:r>
      <w:r>
        <w:rPr>
          <w:bCs/>
          <w:lang w:val="fr-FR"/>
        </w:rPr>
        <w:t>Enfants privés de milieu familial</w:t>
      </w:r>
    </w:p>
    <w:p w14:paraId="539828E6" w14:textId="580ADFBC" w:rsidR="00050CF5" w:rsidRPr="00DC2178" w:rsidRDefault="00050CF5" w:rsidP="00050CF5">
      <w:pPr>
        <w:pStyle w:val="SingleTxtG"/>
        <w:rPr>
          <w:lang w:val="fr-FR"/>
        </w:rPr>
      </w:pPr>
      <w:r>
        <w:rPr>
          <w:lang w:val="fr-FR"/>
        </w:rPr>
        <w:t>32.</w:t>
      </w:r>
      <w:r>
        <w:rPr>
          <w:lang w:val="fr-FR"/>
        </w:rPr>
        <w:tab/>
        <w:t>Le Comité regrette l</w:t>
      </w:r>
      <w:r>
        <w:rPr>
          <w:lang w:val="fr-FR"/>
        </w:rPr>
        <w:t>’</w:t>
      </w:r>
      <w:r>
        <w:rPr>
          <w:lang w:val="fr-FR"/>
        </w:rPr>
        <w:t xml:space="preserve">insuffisance des mesures prises pour favoriser la </w:t>
      </w:r>
      <w:proofErr w:type="spellStart"/>
      <w:r>
        <w:rPr>
          <w:lang w:val="fr-FR"/>
        </w:rPr>
        <w:t>désinstitutionnalisation</w:t>
      </w:r>
      <w:proofErr w:type="spellEnd"/>
      <w:r>
        <w:rPr>
          <w:lang w:val="fr-FR"/>
        </w:rPr>
        <w:t xml:space="preserve"> et pour garantir la sécurité des enfants placés en institution et le respect de leurs droits. Il note en outre avec une vive préoccupation :</w:t>
      </w:r>
    </w:p>
    <w:p w14:paraId="0F65DF77" w14:textId="17F5364B" w:rsidR="00050CF5" w:rsidRPr="00DC2178" w:rsidRDefault="00050CF5" w:rsidP="00050CF5">
      <w:pPr>
        <w:pStyle w:val="SingleTxtG"/>
        <w:ind w:firstLine="567"/>
        <w:rPr>
          <w:lang w:val="fr-FR"/>
        </w:rPr>
      </w:pPr>
      <w:r>
        <w:rPr>
          <w:lang w:val="fr-FR"/>
        </w:rPr>
        <w:t>a)</w:t>
      </w:r>
      <w:r>
        <w:rPr>
          <w:lang w:val="fr-FR"/>
        </w:rPr>
        <w:tab/>
        <w:t>Que les décisions concernant le placement d</w:t>
      </w:r>
      <w:r>
        <w:rPr>
          <w:lang w:val="fr-FR"/>
        </w:rPr>
        <w:t>’</w:t>
      </w:r>
      <w:r>
        <w:rPr>
          <w:lang w:val="fr-FR"/>
        </w:rPr>
        <w:t>enfants sont prises sans la participation préalable des familles ;</w:t>
      </w:r>
    </w:p>
    <w:p w14:paraId="523A9EE3" w14:textId="6E42FFD0" w:rsidR="00050CF5" w:rsidRPr="00DC2178" w:rsidRDefault="00050CF5" w:rsidP="00050CF5">
      <w:pPr>
        <w:pStyle w:val="SingleTxtG"/>
        <w:ind w:firstLine="567"/>
        <w:rPr>
          <w:lang w:val="fr-FR"/>
        </w:rPr>
      </w:pPr>
      <w:r>
        <w:rPr>
          <w:lang w:val="fr-FR"/>
        </w:rPr>
        <w:t>b)</w:t>
      </w:r>
      <w:r>
        <w:rPr>
          <w:lang w:val="fr-FR"/>
        </w:rPr>
        <w:tab/>
        <w:t>Que le placement des enfants en famille d</w:t>
      </w:r>
      <w:r>
        <w:rPr>
          <w:lang w:val="fr-FR"/>
        </w:rPr>
        <w:t>’</w:t>
      </w:r>
      <w:r>
        <w:rPr>
          <w:lang w:val="fr-FR"/>
        </w:rPr>
        <w:t>accueil perturbe la vie des enfants concernés et que les enfants changent fréquemment de famille d</w:t>
      </w:r>
      <w:r>
        <w:rPr>
          <w:lang w:val="fr-FR"/>
        </w:rPr>
        <w:t>’</w:t>
      </w:r>
      <w:r>
        <w:rPr>
          <w:lang w:val="fr-FR"/>
        </w:rPr>
        <w:t>accueil, sans que leur attachement à leurs parents d</w:t>
      </w:r>
      <w:r>
        <w:rPr>
          <w:lang w:val="fr-FR"/>
        </w:rPr>
        <w:t>’</w:t>
      </w:r>
      <w:r>
        <w:rPr>
          <w:lang w:val="fr-FR"/>
        </w:rPr>
        <w:t>accueil soit pris en considération ;</w:t>
      </w:r>
    </w:p>
    <w:p w14:paraId="2DEE4F52" w14:textId="39805430" w:rsidR="00050CF5" w:rsidRPr="00DC2178" w:rsidRDefault="00050CF5" w:rsidP="00050CF5">
      <w:pPr>
        <w:pStyle w:val="SingleTxtG"/>
        <w:ind w:firstLine="567"/>
        <w:rPr>
          <w:lang w:val="fr-FR"/>
        </w:rPr>
      </w:pPr>
      <w:r>
        <w:rPr>
          <w:lang w:val="fr-FR"/>
        </w:rPr>
        <w:t>c)</w:t>
      </w:r>
      <w:r>
        <w:rPr>
          <w:lang w:val="fr-FR"/>
        </w:rPr>
        <w:tab/>
        <w:t>Que l</w:t>
      </w:r>
      <w:r>
        <w:rPr>
          <w:lang w:val="fr-FR"/>
        </w:rPr>
        <w:t>’</w:t>
      </w:r>
      <w:r>
        <w:rPr>
          <w:lang w:val="fr-FR"/>
        </w:rPr>
        <w:t>exécution des décisions de justice portant sur la protection d</w:t>
      </w:r>
      <w:r>
        <w:rPr>
          <w:lang w:val="fr-FR"/>
        </w:rPr>
        <w:t>’</w:t>
      </w:r>
      <w:r>
        <w:rPr>
          <w:lang w:val="fr-FR"/>
        </w:rPr>
        <w:t>enfants vivant dans la précarité est excessivement lente ;</w:t>
      </w:r>
    </w:p>
    <w:p w14:paraId="2A65C300" w14:textId="06E895F2" w:rsidR="00050CF5" w:rsidRPr="00DC2178" w:rsidRDefault="00050CF5" w:rsidP="00050CF5">
      <w:pPr>
        <w:pStyle w:val="SingleTxtG"/>
        <w:ind w:firstLine="567"/>
        <w:rPr>
          <w:lang w:val="fr-FR"/>
        </w:rPr>
      </w:pPr>
      <w:r>
        <w:rPr>
          <w:lang w:val="fr-FR"/>
        </w:rPr>
        <w:t>d)</w:t>
      </w:r>
      <w:r>
        <w:rPr>
          <w:lang w:val="fr-FR"/>
        </w:rPr>
        <w:tab/>
        <w:t>Que des cas de violence, de mauvais traitements et de négligence à l</w:t>
      </w:r>
      <w:r>
        <w:rPr>
          <w:lang w:val="fr-FR"/>
        </w:rPr>
        <w:t>’</w:t>
      </w:r>
      <w:r>
        <w:rPr>
          <w:lang w:val="fr-FR"/>
        </w:rPr>
        <w:t>égard d</w:t>
      </w:r>
      <w:r>
        <w:rPr>
          <w:lang w:val="fr-FR"/>
        </w:rPr>
        <w:t>’</w:t>
      </w:r>
      <w:r>
        <w:rPr>
          <w:lang w:val="fr-FR"/>
        </w:rPr>
        <w:t>enfants placés en institution, en particulier de jeunes enfants, ont été signalés ;</w:t>
      </w:r>
    </w:p>
    <w:p w14:paraId="1CF6920C" w14:textId="2747AF67" w:rsidR="00050CF5" w:rsidRPr="00DC2178" w:rsidRDefault="00050CF5" w:rsidP="00050CF5">
      <w:pPr>
        <w:pStyle w:val="SingleTxtG"/>
        <w:ind w:firstLine="567"/>
        <w:rPr>
          <w:lang w:val="fr-FR"/>
        </w:rPr>
      </w:pPr>
      <w:r>
        <w:rPr>
          <w:lang w:val="fr-FR"/>
        </w:rPr>
        <w:t>e)</w:t>
      </w:r>
      <w:r>
        <w:rPr>
          <w:lang w:val="fr-FR"/>
        </w:rPr>
        <w:tab/>
        <w:t>Que les « projets pour l</w:t>
      </w:r>
      <w:r>
        <w:rPr>
          <w:lang w:val="fr-FR"/>
        </w:rPr>
        <w:t>’</w:t>
      </w:r>
      <w:r>
        <w:rPr>
          <w:lang w:val="fr-FR"/>
        </w:rPr>
        <w:t>enfant » prévus par la loi du 14 mars</w:t>
      </w:r>
      <w:r w:rsidR="00717BCE">
        <w:rPr>
          <w:lang w:val="fr-FR"/>
        </w:rPr>
        <w:t xml:space="preserve"> </w:t>
      </w:r>
      <w:r>
        <w:rPr>
          <w:lang w:val="fr-FR"/>
        </w:rPr>
        <w:t>2016 ne sont pas mis en œuvre dans certaines régions de l</w:t>
      </w:r>
      <w:r>
        <w:rPr>
          <w:lang w:val="fr-FR"/>
        </w:rPr>
        <w:t>’</w:t>
      </w:r>
      <w:r>
        <w:rPr>
          <w:lang w:val="fr-FR"/>
        </w:rPr>
        <w:t>État partie.</w:t>
      </w:r>
    </w:p>
    <w:p w14:paraId="3A4D8EEE" w14:textId="1A013F28" w:rsidR="00050CF5" w:rsidRPr="00DC2178" w:rsidRDefault="00050CF5" w:rsidP="007D1A3F">
      <w:pPr>
        <w:pStyle w:val="SingleTxtG"/>
        <w:rPr>
          <w:b/>
          <w:bCs/>
          <w:lang w:val="fr-FR"/>
        </w:rPr>
      </w:pPr>
      <w:r>
        <w:rPr>
          <w:lang w:val="fr-FR"/>
        </w:rPr>
        <w:t>33.</w:t>
      </w:r>
      <w:r>
        <w:rPr>
          <w:lang w:val="fr-FR"/>
        </w:rPr>
        <w:tab/>
      </w:r>
      <w:r>
        <w:rPr>
          <w:b/>
          <w:bCs/>
          <w:lang w:val="fr-FR"/>
        </w:rPr>
        <w:t>Le Comité appelle l</w:t>
      </w:r>
      <w:r>
        <w:rPr>
          <w:b/>
          <w:bCs/>
          <w:lang w:val="fr-FR"/>
        </w:rPr>
        <w:t>’</w:t>
      </w:r>
      <w:r>
        <w:rPr>
          <w:b/>
          <w:bCs/>
          <w:lang w:val="fr-FR"/>
        </w:rPr>
        <w:t>attention de l</w:t>
      </w:r>
      <w:r>
        <w:rPr>
          <w:b/>
          <w:bCs/>
          <w:lang w:val="fr-FR"/>
        </w:rPr>
        <w:t>’</w:t>
      </w:r>
      <w:r>
        <w:rPr>
          <w:b/>
          <w:bCs/>
          <w:lang w:val="fr-FR"/>
        </w:rPr>
        <w:t>État partie sur les Lignes directrices relatives à la protection de remplacement pour les enfants</w:t>
      </w:r>
      <w:r w:rsidRPr="00A02FBD">
        <w:rPr>
          <w:rStyle w:val="Appelnotedebasdep"/>
          <w:lang w:val="fr-FR"/>
        </w:rPr>
        <w:footnoteReference w:id="9"/>
      </w:r>
      <w:r>
        <w:rPr>
          <w:b/>
          <w:bCs/>
          <w:lang w:val="fr-FR"/>
        </w:rPr>
        <w:t xml:space="preserve"> et lui demande instamment :</w:t>
      </w:r>
    </w:p>
    <w:p w14:paraId="4C711F9F" w14:textId="0E4B64B4" w:rsidR="00050CF5" w:rsidRPr="00717BCE" w:rsidRDefault="00050CF5" w:rsidP="00050CF5">
      <w:pPr>
        <w:pStyle w:val="SingleTxtG"/>
        <w:ind w:firstLine="567"/>
        <w:rPr>
          <w:b/>
          <w:bCs/>
          <w:lang w:val="fr-FR"/>
        </w:rPr>
      </w:pPr>
      <w:r w:rsidRPr="00717BCE">
        <w:rPr>
          <w:b/>
          <w:bCs/>
          <w:lang w:val="fr-FR"/>
        </w:rPr>
        <w:lastRenderedPageBreak/>
        <w:t>a)</w:t>
      </w:r>
      <w:r w:rsidRPr="00717BCE">
        <w:rPr>
          <w:b/>
          <w:bCs/>
          <w:lang w:val="fr-FR"/>
        </w:rPr>
        <w:tab/>
        <w:t>De veiller à ce que les décisions de justice portant sur la protection des enfants vivant dans la précarité et dans des conditions dangereuses soient exécutées immédiatement afin d</w:t>
      </w:r>
      <w:r w:rsidRPr="00717BCE">
        <w:rPr>
          <w:b/>
          <w:bCs/>
          <w:lang w:val="fr-FR"/>
        </w:rPr>
        <w:t>’</w:t>
      </w:r>
      <w:r w:rsidRPr="00717BCE">
        <w:rPr>
          <w:b/>
          <w:bCs/>
          <w:lang w:val="fr-FR"/>
        </w:rPr>
        <w:t>éviter des effets irréversibles sur la santé physique et mentale des enfants ;</w:t>
      </w:r>
    </w:p>
    <w:p w14:paraId="2AD6E477" w14:textId="6BA16A8C" w:rsidR="00050CF5" w:rsidRPr="007D1A3F" w:rsidRDefault="00050CF5" w:rsidP="00050CF5">
      <w:pPr>
        <w:pStyle w:val="SingleTxtG"/>
        <w:ind w:firstLine="567"/>
        <w:rPr>
          <w:b/>
          <w:bCs/>
          <w:spacing w:val="-2"/>
          <w:lang w:val="fr-FR"/>
        </w:rPr>
      </w:pPr>
      <w:r w:rsidRPr="007D1A3F">
        <w:rPr>
          <w:b/>
          <w:bCs/>
          <w:spacing w:val="-2"/>
          <w:lang w:val="fr-FR"/>
        </w:rPr>
        <w:t>b)</w:t>
      </w:r>
      <w:r w:rsidRPr="007D1A3F">
        <w:rPr>
          <w:b/>
          <w:bCs/>
          <w:spacing w:val="-2"/>
          <w:lang w:val="fr-FR"/>
        </w:rPr>
        <w:tab/>
        <w:t>De mettre au point, compte tenu des besoins et de l</w:t>
      </w:r>
      <w:r w:rsidRPr="007D1A3F">
        <w:rPr>
          <w:b/>
          <w:bCs/>
          <w:spacing w:val="-2"/>
          <w:lang w:val="fr-FR"/>
        </w:rPr>
        <w:t>’</w:t>
      </w:r>
      <w:r w:rsidRPr="007D1A3F">
        <w:rPr>
          <w:b/>
          <w:bCs/>
          <w:spacing w:val="-2"/>
          <w:lang w:val="fr-FR"/>
        </w:rPr>
        <w:t>intérêt supérieur de l</w:t>
      </w:r>
      <w:r w:rsidRPr="007D1A3F">
        <w:rPr>
          <w:b/>
          <w:bCs/>
          <w:spacing w:val="-2"/>
          <w:lang w:val="fr-FR"/>
        </w:rPr>
        <w:t>’</w:t>
      </w:r>
      <w:r w:rsidRPr="007D1A3F">
        <w:rPr>
          <w:b/>
          <w:bCs/>
          <w:spacing w:val="-2"/>
          <w:lang w:val="fr-FR"/>
        </w:rPr>
        <w:t>enfant, des garanties adéquates et des critères clairs pour déterminer si un enfant devrait faire l</w:t>
      </w:r>
      <w:r w:rsidRPr="007D1A3F">
        <w:rPr>
          <w:b/>
          <w:bCs/>
          <w:spacing w:val="-2"/>
          <w:lang w:val="fr-FR"/>
        </w:rPr>
        <w:t>’</w:t>
      </w:r>
      <w:r w:rsidRPr="007D1A3F">
        <w:rPr>
          <w:b/>
          <w:bCs/>
          <w:spacing w:val="-2"/>
          <w:lang w:val="fr-FR"/>
        </w:rPr>
        <w:t>objet d</w:t>
      </w:r>
      <w:r w:rsidRPr="007D1A3F">
        <w:rPr>
          <w:b/>
          <w:bCs/>
          <w:spacing w:val="-2"/>
          <w:lang w:val="fr-FR"/>
        </w:rPr>
        <w:t>’</w:t>
      </w:r>
      <w:r w:rsidRPr="007D1A3F">
        <w:rPr>
          <w:b/>
          <w:bCs/>
          <w:spacing w:val="-2"/>
          <w:lang w:val="fr-FR"/>
        </w:rPr>
        <w:t>une protection de remplacement, en tenant compte de ses liens affectifs ;</w:t>
      </w:r>
    </w:p>
    <w:p w14:paraId="11076A92" w14:textId="3FB9B942" w:rsidR="00050CF5" w:rsidRPr="00717BCE" w:rsidRDefault="00050CF5" w:rsidP="00050CF5">
      <w:pPr>
        <w:pStyle w:val="SingleTxtG"/>
        <w:ind w:firstLine="567"/>
        <w:rPr>
          <w:b/>
          <w:bCs/>
          <w:lang w:val="fr-FR"/>
        </w:rPr>
      </w:pPr>
      <w:r w:rsidRPr="00717BCE">
        <w:rPr>
          <w:b/>
          <w:bCs/>
          <w:lang w:val="fr-FR"/>
        </w:rPr>
        <w:t>c)</w:t>
      </w:r>
      <w:r w:rsidRPr="00717BCE">
        <w:rPr>
          <w:b/>
          <w:bCs/>
          <w:lang w:val="fr-FR"/>
        </w:rPr>
        <w:tab/>
        <w:t>De faciliter la prise en charge des enfants en milieu familial chaque fois que cela est possible, et de développer le système des familles d</w:t>
      </w:r>
      <w:r w:rsidRPr="00717BCE">
        <w:rPr>
          <w:b/>
          <w:bCs/>
          <w:lang w:val="fr-FR"/>
        </w:rPr>
        <w:t>’</w:t>
      </w:r>
      <w:r w:rsidRPr="00717BCE">
        <w:rPr>
          <w:b/>
          <w:bCs/>
          <w:lang w:val="fr-FR"/>
        </w:rPr>
        <w:t>accueil pour les enfants qui ne peuvent rester dans leur famille ;</w:t>
      </w:r>
    </w:p>
    <w:p w14:paraId="64902580" w14:textId="07FA2FCF" w:rsidR="00050CF5" w:rsidRPr="00717BCE" w:rsidRDefault="00050CF5" w:rsidP="00050CF5">
      <w:pPr>
        <w:pStyle w:val="SingleTxtG"/>
        <w:ind w:firstLine="567"/>
        <w:rPr>
          <w:b/>
          <w:bCs/>
          <w:lang w:val="fr-FR"/>
        </w:rPr>
      </w:pPr>
      <w:r w:rsidRPr="00717BCE">
        <w:rPr>
          <w:b/>
          <w:bCs/>
          <w:lang w:val="fr-FR"/>
        </w:rPr>
        <w:t>d)</w:t>
      </w:r>
      <w:r w:rsidRPr="00717BCE">
        <w:rPr>
          <w:b/>
          <w:bCs/>
          <w:lang w:val="fr-FR"/>
        </w:rPr>
        <w:tab/>
        <w:t>De veiller à ce que l</w:t>
      </w:r>
      <w:r w:rsidRPr="00717BCE">
        <w:rPr>
          <w:b/>
          <w:bCs/>
          <w:lang w:val="fr-FR"/>
        </w:rPr>
        <w:t>’</w:t>
      </w:r>
      <w:r w:rsidRPr="00717BCE">
        <w:rPr>
          <w:b/>
          <w:bCs/>
          <w:lang w:val="fr-FR"/>
        </w:rPr>
        <w:t>Observatoire national de la protection de l</w:t>
      </w:r>
      <w:r w:rsidRPr="00717BCE">
        <w:rPr>
          <w:b/>
          <w:bCs/>
          <w:lang w:val="fr-FR"/>
        </w:rPr>
        <w:t>’</w:t>
      </w:r>
      <w:r w:rsidRPr="00717BCE">
        <w:rPr>
          <w:b/>
          <w:bCs/>
          <w:lang w:val="fr-FR"/>
        </w:rPr>
        <w:t>enfance et les observatoires départementaux de la protection de l</w:t>
      </w:r>
      <w:r w:rsidRPr="00717BCE">
        <w:rPr>
          <w:b/>
          <w:bCs/>
          <w:lang w:val="fr-FR"/>
        </w:rPr>
        <w:t>’</w:t>
      </w:r>
      <w:r w:rsidRPr="00717BCE">
        <w:rPr>
          <w:b/>
          <w:bCs/>
          <w:lang w:val="fr-FR"/>
        </w:rPr>
        <w:t>enfance collectent des données actualisées et publient régulièrement les délais d</w:t>
      </w:r>
      <w:r w:rsidRPr="00717BCE">
        <w:rPr>
          <w:b/>
          <w:bCs/>
          <w:lang w:val="fr-FR"/>
        </w:rPr>
        <w:t>’</w:t>
      </w:r>
      <w:r w:rsidRPr="00717BCE">
        <w:rPr>
          <w:b/>
          <w:bCs/>
          <w:lang w:val="fr-FR"/>
        </w:rPr>
        <w:t>exécution des décisions judiciaires par les départements ;</w:t>
      </w:r>
    </w:p>
    <w:p w14:paraId="08FB7DC3" w14:textId="776772EB" w:rsidR="00050CF5" w:rsidRPr="007D1A3F" w:rsidRDefault="00050CF5" w:rsidP="00050CF5">
      <w:pPr>
        <w:pStyle w:val="SingleTxtG"/>
        <w:ind w:firstLine="567"/>
        <w:rPr>
          <w:b/>
          <w:bCs/>
          <w:spacing w:val="-2"/>
          <w:lang w:val="fr-FR"/>
        </w:rPr>
      </w:pPr>
      <w:r w:rsidRPr="007D1A3F">
        <w:rPr>
          <w:b/>
          <w:bCs/>
          <w:spacing w:val="-2"/>
          <w:lang w:val="fr-FR"/>
        </w:rPr>
        <w:t>e)</w:t>
      </w:r>
      <w:r w:rsidRPr="007D1A3F">
        <w:rPr>
          <w:b/>
          <w:bCs/>
          <w:spacing w:val="-2"/>
          <w:lang w:val="fr-FR"/>
        </w:rPr>
        <w:tab/>
        <w:t>De procéder à un examen périodique des placements en famille d</w:t>
      </w:r>
      <w:r w:rsidRPr="007D1A3F">
        <w:rPr>
          <w:b/>
          <w:bCs/>
          <w:spacing w:val="-2"/>
          <w:lang w:val="fr-FR"/>
        </w:rPr>
        <w:t>’</w:t>
      </w:r>
      <w:r w:rsidRPr="007D1A3F">
        <w:rPr>
          <w:b/>
          <w:bCs/>
          <w:spacing w:val="-2"/>
          <w:lang w:val="fr-FR"/>
        </w:rPr>
        <w:t>accueil ou en institution et de contrôler la qualité de la prise en charge dans ces cadres, notamment en instaurant des mécanismes accessibles et adaptés aux enfants permettant de signaler les cas de maltraitance d</w:t>
      </w:r>
      <w:r w:rsidRPr="007D1A3F">
        <w:rPr>
          <w:b/>
          <w:bCs/>
          <w:spacing w:val="-2"/>
          <w:lang w:val="fr-FR"/>
        </w:rPr>
        <w:t>’</w:t>
      </w:r>
      <w:r w:rsidRPr="007D1A3F">
        <w:rPr>
          <w:b/>
          <w:bCs/>
          <w:spacing w:val="-2"/>
          <w:lang w:val="fr-FR"/>
        </w:rPr>
        <w:t>enfants, d</w:t>
      </w:r>
      <w:r w:rsidRPr="007D1A3F">
        <w:rPr>
          <w:b/>
          <w:bCs/>
          <w:spacing w:val="-2"/>
          <w:lang w:val="fr-FR"/>
        </w:rPr>
        <w:t>’</w:t>
      </w:r>
      <w:r w:rsidRPr="007D1A3F">
        <w:rPr>
          <w:b/>
          <w:bCs/>
          <w:spacing w:val="-2"/>
          <w:lang w:val="fr-FR"/>
        </w:rPr>
        <w:t>assurer le suivi de ces cas et d</w:t>
      </w:r>
      <w:r w:rsidRPr="007D1A3F">
        <w:rPr>
          <w:b/>
          <w:bCs/>
          <w:spacing w:val="-2"/>
          <w:lang w:val="fr-FR"/>
        </w:rPr>
        <w:t>’</w:t>
      </w:r>
      <w:r w:rsidRPr="007D1A3F">
        <w:rPr>
          <w:b/>
          <w:bCs/>
          <w:spacing w:val="-2"/>
          <w:lang w:val="fr-FR"/>
        </w:rPr>
        <w:t>y remédier</w:t>
      </w:r>
      <w:r w:rsidR="00717BCE" w:rsidRPr="007D1A3F">
        <w:rPr>
          <w:b/>
          <w:bCs/>
          <w:spacing w:val="-2"/>
          <w:lang w:val="fr-FR"/>
        </w:rPr>
        <w:t> </w:t>
      </w:r>
      <w:r w:rsidRPr="007D1A3F">
        <w:rPr>
          <w:b/>
          <w:bCs/>
          <w:spacing w:val="-2"/>
          <w:lang w:val="fr-FR"/>
        </w:rPr>
        <w:t>;</w:t>
      </w:r>
    </w:p>
    <w:p w14:paraId="331468A6" w14:textId="2DA28B8C" w:rsidR="00050CF5" w:rsidRPr="00717BCE" w:rsidRDefault="00050CF5" w:rsidP="00050CF5">
      <w:pPr>
        <w:pStyle w:val="SingleTxtG"/>
        <w:ind w:firstLine="567"/>
        <w:rPr>
          <w:b/>
          <w:bCs/>
          <w:lang w:val="fr-FR"/>
        </w:rPr>
      </w:pPr>
      <w:r w:rsidRPr="00717BCE">
        <w:rPr>
          <w:b/>
          <w:bCs/>
          <w:lang w:val="fr-FR"/>
        </w:rPr>
        <w:t>f)</w:t>
      </w:r>
      <w:r w:rsidRPr="00717BCE">
        <w:rPr>
          <w:b/>
          <w:bCs/>
          <w:lang w:val="fr-FR"/>
        </w:rPr>
        <w:tab/>
        <w:t>De mener rapidement des enquêtes efficaces sur toutes les accusations de violence, de mauvais traitements et de négligence à l</w:t>
      </w:r>
      <w:r w:rsidRPr="00717BCE">
        <w:rPr>
          <w:b/>
          <w:bCs/>
          <w:lang w:val="fr-FR"/>
        </w:rPr>
        <w:t>’</w:t>
      </w:r>
      <w:r w:rsidRPr="00717BCE">
        <w:rPr>
          <w:b/>
          <w:bCs/>
          <w:lang w:val="fr-FR"/>
        </w:rPr>
        <w:t>égard d</w:t>
      </w:r>
      <w:r w:rsidRPr="00717BCE">
        <w:rPr>
          <w:b/>
          <w:bCs/>
          <w:lang w:val="fr-FR"/>
        </w:rPr>
        <w:t>’</w:t>
      </w:r>
      <w:r w:rsidRPr="00717BCE">
        <w:rPr>
          <w:b/>
          <w:bCs/>
          <w:lang w:val="fr-FR"/>
        </w:rPr>
        <w:t>enfants placés en institution, en accordant une attention particulière aux jeunes enfants, et de traduire les responsables en justice ;</w:t>
      </w:r>
    </w:p>
    <w:p w14:paraId="30FF74BC" w14:textId="50B7BBA2" w:rsidR="00050CF5" w:rsidRPr="00DC2178" w:rsidRDefault="00050CF5" w:rsidP="00050CF5">
      <w:pPr>
        <w:pStyle w:val="SingleTxtG"/>
        <w:ind w:firstLine="567"/>
        <w:rPr>
          <w:b/>
          <w:bCs/>
          <w:lang w:val="fr-FR"/>
        </w:rPr>
      </w:pPr>
      <w:r w:rsidRPr="00717BCE">
        <w:rPr>
          <w:b/>
          <w:bCs/>
          <w:lang w:val="fr-FR"/>
        </w:rPr>
        <w:t>g)</w:t>
      </w:r>
      <w:r w:rsidRPr="00717BCE">
        <w:rPr>
          <w:b/>
          <w:bCs/>
          <w:lang w:val="fr-FR"/>
        </w:rPr>
        <w:tab/>
        <w:t>D</w:t>
      </w:r>
      <w:r w:rsidRPr="00717BCE">
        <w:rPr>
          <w:b/>
          <w:bCs/>
          <w:lang w:val="fr-FR"/>
        </w:rPr>
        <w:t>’</w:t>
      </w:r>
      <w:r w:rsidRPr="00717BCE">
        <w:rPr>
          <w:b/>
          <w:bCs/>
          <w:lang w:val="fr-FR"/>
        </w:rPr>
        <w:t>étendre l</w:t>
      </w:r>
      <w:r w:rsidRPr="00717BCE">
        <w:rPr>
          <w:b/>
          <w:bCs/>
          <w:lang w:val="fr-FR"/>
        </w:rPr>
        <w:t>’</w:t>
      </w:r>
      <w:r w:rsidRPr="00717BCE">
        <w:rPr>
          <w:b/>
          <w:bCs/>
          <w:lang w:val="fr-FR"/>
        </w:rPr>
        <w:t>application des « projets pour l</w:t>
      </w:r>
      <w:r w:rsidRPr="00717BCE">
        <w:rPr>
          <w:b/>
          <w:bCs/>
          <w:lang w:val="fr-FR"/>
        </w:rPr>
        <w:t>’</w:t>
      </w:r>
      <w:r w:rsidRPr="00717BCE">
        <w:rPr>
          <w:b/>
          <w:bCs/>
          <w:lang w:val="fr-FR"/>
        </w:rPr>
        <w:t>enfant» prévus par la loi du 14</w:t>
      </w:r>
      <w:r w:rsidR="00717BCE">
        <w:rPr>
          <w:b/>
          <w:bCs/>
          <w:lang w:val="fr-FR"/>
        </w:rPr>
        <w:t> </w:t>
      </w:r>
      <w:r w:rsidRPr="00717BCE">
        <w:rPr>
          <w:b/>
          <w:bCs/>
          <w:lang w:val="fr-FR"/>
        </w:rPr>
        <w:t>mars 2016</w:t>
      </w:r>
      <w:r>
        <w:rPr>
          <w:b/>
          <w:bCs/>
          <w:lang w:val="fr-FR"/>
        </w:rPr>
        <w:t xml:space="preserve"> à l</w:t>
      </w:r>
      <w:r>
        <w:rPr>
          <w:b/>
          <w:bCs/>
          <w:lang w:val="fr-FR"/>
        </w:rPr>
        <w:t>’</w:t>
      </w:r>
      <w:r>
        <w:rPr>
          <w:b/>
          <w:bCs/>
          <w:lang w:val="fr-FR"/>
        </w:rPr>
        <w:t>ensemble de son territoire.</w:t>
      </w:r>
    </w:p>
    <w:p w14:paraId="532E0E43" w14:textId="77777777" w:rsidR="00050CF5" w:rsidRPr="006E1B41" w:rsidRDefault="00050CF5" w:rsidP="00050CF5">
      <w:pPr>
        <w:pStyle w:val="H23G"/>
        <w:rPr>
          <w:bCs/>
          <w:lang w:val="fr-FR"/>
        </w:rPr>
      </w:pPr>
      <w:r>
        <w:rPr>
          <w:lang w:val="fr-FR"/>
        </w:rPr>
        <w:tab/>
      </w:r>
      <w:r>
        <w:rPr>
          <w:lang w:val="fr-FR"/>
        </w:rPr>
        <w:tab/>
      </w:r>
      <w:r w:rsidRPr="006E1B41">
        <w:rPr>
          <w:bCs/>
          <w:lang w:val="fr-FR"/>
        </w:rPr>
        <w:t>Adoption internationale</w:t>
      </w:r>
    </w:p>
    <w:p w14:paraId="28E6027F" w14:textId="4902D942" w:rsidR="00050CF5" w:rsidRPr="006E1B41" w:rsidRDefault="00050CF5" w:rsidP="00050CF5">
      <w:pPr>
        <w:pStyle w:val="SingleTxtG"/>
        <w:rPr>
          <w:b/>
          <w:bCs/>
          <w:lang w:val="fr-FR"/>
        </w:rPr>
      </w:pPr>
      <w:r w:rsidRPr="006E1B41">
        <w:rPr>
          <w:lang w:val="fr-FR"/>
        </w:rPr>
        <w:t>34.</w:t>
      </w:r>
      <w:r w:rsidRPr="006E1B41">
        <w:rPr>
          <w:lang w:val="fr-FR"/>
        </w:rPr>
        <w:tab/>
      </w:r>
      <w:r w:rsidRPr="006E1B41">
        <w:rPr>
          <w:b/>
          <w:bCs/>
          <w:lang w:val="fr-FR"/>
        </w:rPr>
        <w:t>Prenant note des études et recherches récentes, en particulier de l</w:t>
      </w:r>
      <w:r w:rsidRPr="006E1B41">
        <w:rPr>
          <w:b/>
          <w:bCs/>
          <w:lang w:val="fr-FR"/>
        </w:rPr>
        <w:t>’</w:t>
      </w:r>
      <w:r w:rsidRPr="006E1B41">
        <w:rPr>
          <w:b/>
          <w:bCs/>
          <w:lang w:val="fr-FR"/>
        </w:rPr>
        <w:t>Étude historique sur les pratiques illicites dans l</w:t>
      </w:r>
      <w:r w:rsidRPr="006E1B41">
        <w:rPr>
          <w:b/>
          <w:bCs/>
          <w:lang w:val="fr-FR"/>
        </w:rPr>
        <w:t>’</w:t>
      </w:r>
      <w:r w:rsidRPr="006E1B41">
        <w:rPr>
          <w:b/>
          <w:bCs/>
          <w:lang w:val="fr-FR"/>
        </w:rPr>
        <w:t>adoption internationale en France, le Comité recommande à l</w:t>
      </w:r>
      <w:r w:rsidRPr="006E1B41">
        <w:rPr>
          <w:b/>
          <w:bCs/>
          <w:lang w:val="fr-FR"/>
        </w:rPr>
        <w:t>’</w:t>
      </w:r>
      <w:r w:rsidRPr="006E1B41">
        <w:rPr>
          <w:b/>
          <w:bCs/>
          <w:lang w:val="fr-FR"/>
        </w:rPr>
        <w:t>État partie :</w:t>
      </w:r>
    </w:p>
    <w:p w14:paraId="1AFA9A08" w14:textId="30AF04CB" w:rsidR="00050CF5" w:rsidRPr="006E1B41" w:rsidRDefault="00050CF5" w:rsidP="00050CF5">
      <w:pPr>
        <w:pStyle w:val="SingleTxtG"/>
        <w:ind w:firstLine="567"/>
        <w:rPr>
          <w:b/>
          <w:bCs/>
          <w:lang w:val="fr-FR"/>
        </w:rPr>
      </w:pPr>
      <w:r w:rsidRPr="006E1B41">
        <w:rPr>
          <w:b/>
          <w:bCs/>
          <w:lang w:val="fr-FR"/>
        </w:rPr>
        <w:t>a)</w:t>
      </w:r>
      <w:r w:rsidRPr="006E1B41">
        <w:rPr>
          <w:b/>
          <w:bCs/>
          <w:lang w:val="fr-FR"/>
        </w:rPr>
        <w:tab/>
        <w:t>De veiller à ce que le principe de l</w:t>
      </w:r>
      <w:r w:rsidRPr="006E1B41">
        <w:rPr>
          <w:b/>
          <w:bCs/>
          <w:lang w:val="fr-FR"/>
        </w:rPr>
        <w:t>’</w:t>
      </w:r>
      <w:r w:rsidRPr="006E1B41">
        <w:rPr>
          <w:b/>
          <w:bCs/>
          <w:lang w:val="fr-FR"/>
        </w:rPr>
        <w:t>intérêt supérieur de l</w:t>
      </w:r>
      <w:r w:rsidRPr="006E1B41">
        <w:rPr>
          <w:b/>
          <w:bCs/>
          <w:lang w:val="fr-FR"/>
        </w:rPr>
        <w:t>’</w:t>
      </w:r>
      <w:r w:rsidRPr="006E1B41">
        <w:rPr>
          <w:b/>
          <w:bCs/>
          <w:lang w:val="fr-FR"/>
        </w:rPr>
        <w:t>enfant soit la considération primordiale en matière d</w:t>
      </w:r>
      <w:r w:rsidRPr="006E1B41">
        <w:rPr>
          <w:b/>
          <w:bCs/>
          <w:lang w:val="fr-FR"/>
        </w:rPr>
        <w:t>’</w:t>
      </w:r>
      <w:r w:rsidRPr="006E1B41">
        <w:rPr>
          <w:b/>
          <w:bCs/>
          <w:lang w:val="fr-FR"/>
        </w:rPr>
        <w:t>adoption internationale et de prévenir l</w:t>
      </w:r>
      <w:r w:rsidRPr="006E1B41">
        <w:rPr>
          <w:b/>
          <w:bCs/>
          <w:lang w:val="fr-FR"/>
        </w:rPr>
        <w:t>’</w:t>
      </w:r>
      <w:r w:rsidRPr="006E1B41">
        <w:rPr>
          <w:b/>
          <w:bCs/>
          <w:lang w:val="fr-FR"/>
        </w:rPr>
        <w:t>enlèvement, la vente et la traite d</w:t>
      </w:r>
      <w:r w:rsidRPr="006E1B41">
        <w:rPr>
          <w:b/>
          <w:bCs/>
          <w:lang w:val="fr-FR"/>
        </w:rPr>
        <w:t>’</w:t>
      </w:r>
      <w:r w:rsidRPr="006E1B41">
        <w:rPr>
          <w:b/>
          <w:bCs/>
          <w:lang w:val="fr-FR"/>
        </w:rPr>
        <w:t>enfants ;</w:t>
      </w:r>
    </w:p>
    <w:p w14:paraId="1AF3DADB" w14:textId="502FCFE8" w:rsidR="00050CF5" w:rsidRPr="00DC2178" w:rsidRDefault="00050CF5" w:rsidP="00050CF5">
      <w:pPr>
        <w:pStyle w:val="SingleTxtG"/>
        <w:ind w:firstLine="567"/>
        <w:rPr>
          <w:b/>
          <w:bCs/>
          <w:lang w:val="fr-FR"/>
        </w:rPr>
      </w:pPr>
      <w:r w:rsidRPr="006E1B41">
        <w:rPr>
          <w:b/>
          <w:bCs/>
          <w:lang w:val="fr-FR"/>
        </w:rPr>
        <w:t>b)</w:t>
      </w:r>
      <w:r w:rsidRPr="006E1B41">
        <w:rPr>
          <w:lang w:val="fr-FR"/>
        </w:rPr>
        <w:tab/>
      </w:r>
      <w:r w:rsidRPr="006E1B41">
        <w:rPr>
          <w:b/>
          <w:bCs/>
          <w:lang w:val="fr-FR"/>
        </w:rPr>
        <w:t>De veiller à ce que tous les enfants, y compris ceux qui ont été adoptés il y a longtemps, bénéficient d</w:t>
      </w:r>
      <w:r w:rsidRPr="006E1B41">
        <w:rPr>
          <w:b/>
          <w:bCs/>
          <w:lang w:val="fr-FR"/>
        </w:rPr>
        <w:t>’</w:t>
      </w:r>
      <w:r w:rsidRPr="006E1B41">
        <w:rPr>
          <w:b/>
          <w:bCs/>
          <w:lang w:val="fr-FR"/>
        </w:rPr>
        <w:t>une aide pour obtenir des</w:t>
      </w:r>
      <w:r>
        <w:rPr>
          <w:b/>
          <w:bCs/>
          <w:lang w:val="fr-FR"/>
        </w:rPr>
        <w:t xml:space="preserve"> informations sur leurs origines.</w:t>
      </w:r>
    </w:p>
    <w:p w14:paraId="181FD502" w14:textId="33A626FF" w:rsidR="00050CF5" w:rsidRPr="00DC2178" w:rsidRDefault="00717BCE" w:rsidP="00050CF5">
      <w:pPr>
        <w:pStyle w:val="H1G"/>
        <w:rPr>
          <w:lang w:val="fr-FR"/>
        </w:rPr>
      </w:pPr>
      <w:r>
        <w:rPr>
          <w:bCs/>
          <w:lang w:val="fr-FR"/>
        </w:rPr>
        <w:tab/>
      </w:r>
      <w:r w:rsidR="00050CF5">
        <w:rPr>
          <w:bCs/>
          <w:lang w:val="fr-FR"/>
        </w:rPr>
        <w:t>F.</w:t>
      </w:r>
      <w:r w:rsidR="00050CF5">
        <w:rPr>
          <w:lang w:val="fr-FR"/>
        </w:rPr>
        <w:tab/>
      </w:r>
      <w:r w:rsidR="00050CF5">
        <w:rPr>
          <w:bCs/>
          <w:lang w:val="fr-FR"/>
        </w:rPr>
        <w:t>Enfants handicapés (art. 23)</w:t>
      </w:r>
    </w:p>
    <w:p w14:paraId="183B7237" w14:textId="5ADAB1EE" w:rsidR="00050CF5" w:rsidRPr="00DC2178" w:rsidRDefault="00050CF5" w:rsidP="00050CF5">
      <w:pPr>
        <w:pStyle w:val="SingleTxtG"/>
        <w:rPr>
          <w:lang w:val="fr-FR"/>
        </w:rPr>
      </w:pPr>
      <w:r>
        <w:rPr>
          <w:lang w:val="fr-FR"/>
        </w:rPr>
        <w:t>35.</w:t>
      </w:r>
      <w:r>
        <w:rPr>
          <w:lang w:val="fr-FR"/>
        </w:rPr>
        <w:tab/>
        <w:t>Le Comité prend note de l</w:t>
      </w:r>
      <w:r>
        <w:rPr>
          <w:lang w:val="fr-FR"/>
        </w:rPr>
        <w:t>’</w:t>
      </w:r>
      <w:r>
        <w:rPr>
          <w:lang w:val="fr-FR"/>
        </w:rPr>
        <w:t xml:space="preserve">adoption de la loi </w:t>
      </w:r>
      <w:r w:rsidR="00717BCE" w:rsidRPr="00717BCE">
        <w:rPr>
          <w:rFonts w:eastAsia="MS Mincho"/>
          <w:szCs w:val="22"/>
          <w:lang w:val="fr-FR"/>
        </w:rPr>
        <w:t>n</w:t>
      </w:r>
      <w:r w:rsidR="00717BCE" w:rsidRPr="00717BCE">
        <w:rPr>
          <w:rFonts w:eastAsia="MS Mincho"/>
          <w:szCs w:val="22"/>
          <w:vertAlign w:val="superscript"/>
          <w:lang w:val="fr-FR"/>
        </w:rPr>
        <w:t>o</w:t>
      </w:r>
      <w:r w:rsidR="00717BCE">
        <w:rPr>
          <w:lang w:val="fr-FR"/>
        </w:rPr>
        <w:t> </w:t>
      </w:r>
      <w:r>
        <w:rPr>
          <w:lang w:val="fr-FR"/>
        </w:rPr>
        <w:t>2019-791 du 26</w:t>
      </w:r>
      <w:r w:rsidR="00717BCE">
        <w:rPr>
          <w:lang w:val="fr-FR"/>
        </w:rPr>
        <w:t> </w:t>
      </w:r>
      <w:r>
        <w:rPr>
          <w:lang w:val="fr-FR"/>
        </w:rPr>
        <w:t>juillet 2019 pour une école de la confiance, qui prévoit le renforcement de l</w:t>
      </w:r>
      <w:r>
        <w:rPr>
          <w:lang w:val="fr-FR"/>
        </w:rPr>
        <w:t>’</w:t>
      </w:r>
      <w:r>
        <w:rPr>
          <w:lang w:val="fr-FR"/>
        </w:rPr>
        <w:t xml:space="preserve">éducation inclusive pour les enfants handicapés, et de la mise en ligne de la </w:t>
      </w:r>
      <w:proofErr w:type="spellStart"/>
      <w:r>
        <w:rPr>
          <w:lang w:val="fr-FR"/>
        </w:rPr>
        <w:t>plateforme</w:t>
      </w:r>
      <w:proofErr w:type="spellEnd"/>
      <w:r>
        <w:rPr>
          <w:lang w:val="fr-FR"/>
        </w:rPr>
        <w:t xml:space="preserve"> « Cap école inclusive » à la rentrée 2019. Néanmoins, malgré l</w:t>
      </w:r>
      <w:r>
        <w:rPr>
          <w:lang w:val="fr-FR"/>
        </w:rPr>
        <w:t>’</w:t>
      </w:r>
      <w:r>
        <w:rPr>
          <w:lang w:val="fr-FR"/>
        </w:rPr>
        <w:t>augmentation du nombre d</w:t>
      </w:r>
      <w:r>
        <w:rPr>
          <w:lang w:val="fr-FR"/>
        </w:rPr>
        <w:t>’</w:t>
      </w:r>
      <w:r>
        <w:rPr>
          <w:lang w:val="fr-FR"/>
        </w:rPr>
        <w:t>enfants handicapés scolarisés dans les écoles ordinaires, il note avec une vive préoccupation :</w:t>
      </w:r>
    </w:p>
    <w:p w14:paraId="3B995C35" w14:textId="676A3714" w:rsidR="00050CF5" w:rsidRPr="00DC2178" w:rsidRDefault="00050CF5" w:rsidP="00050CF5">
      <w:pPr>
        <w:pStyle w:val="SingleTxtG"/>
        <w:ind w:firstLine="567"/>
        <w:rPr>
          <w:lang w:val="fr-FR"/>
        </w:rPr>
      </w:pPr>
      <w:r>
        <w:rPr>
          <w:lang w:val="fr-FR"/>
        </w:rPr>
        <w:t>a)</w:t>
      </w:r>
      <w:r>
        <w:rPr>
          <w:lang w:val="fr-FR"/>
        </w:rPr>
        <w:tab/>
        <w:t>Que le nombre de professionnels chargés d</w:t>
      </w:r>
      <w:r>
        <w:rPr>
          <w:lang w:val="fr-FR"/>
        </w:rPr>
        <w:t>’</w:t>
      </w:r>
      <w:r>
        <w:rPr>
          <w:lang w:val="fr-FR"/>
        </w:rPr>
        <w:t>aider les enfants handicapés à l</w:t>
      </w:r>
      <w:r>
        <w:rPr>
          <w:lang w:val="fr-FR"/>
        </w:rPr>
        <w:t>’</w:t>
      </w:r>
      <w:r>
        <w:rPr>
          <w:lang w:val="fr-FR"/>
        </w:rPr>
        <w:t>école reste insuffisant ;</w:t>
      </w:r>
    </w:p>
    <w:p w14:paraId="057327E3" w14:textId="745E6F8F" w:rsidR="00050CF5" w:rsidRPr="00DC2178" w:rsidRDefault="00050CF5" w:rsidP="00050CF5">
      <w:pPr>
        <w:pStyle w:val="SingleTxtG"/>
        <w:ind w:firstLine="567"/>
        <w:rPr>
          <w:lang w:val="fr-FR"/>
        </w:rPr>
      </w:pPr>
      <w:r>
        <w:rPr>
          <w:lang w:val="fr-FR"/>
        </w:rPr>
        <w:t>b)</w:t>
      </w:r>
      <w:r>
        <w:rPr>
          <w:lang w:val="fr-FR"/>
        </w:rPr>
        <w:tab/>
        <w:t>Que, malgré un gel récent, un certain nombre d</w:t>
      </w:r>
      <w:r>
        <w:rPr>
          <w:lang w:val="fr-FR"/>
        </w:rPr>
        <w:t>’</w:t>
      </w:r>
      <w:r>
        <w:rPr>
          <w:lang w:val="fr-FR"/>
        </w:rPr>
        <w:t>enfants continuent de recevoir une assistance dans des pays voisins ;</w:t>
      </w:r>
    </w:p>
    <w:p w14:paraId="2DCDDFA5" w14:textId="2EC42FF6" w:rsidR="00050CF5" w:rsidRPr="00DC2178" w:rsidRDefault="00050CF5" w:rsidP="00050CF5">
      <w:pPr>
        <w:pStyle w:val="SingleTxtG"/>
        <w:ind w:firstLine="567"/>
        <w:rPr>
          <w:lang w:val="fr-FR"/>
        </w:rPr>
      </w:pPr>
      <w:r>
        <w:rPr>
          <w:lang w:val="fr-FR"/>
        </w:rPr>
        <w:t>c)</w:t>
      </w:r>
      <w:r>
        <w:rPr>
          <w:lang w:val="fr-FR"/>
        </w:rPr>
        <w:tab/>
        <w:t>Que les enfants handicapés continuent de subir des discriminations, notamment à l</w:t>
      </w:r>
      <w:r>
        <w:rPr>
          <w:lang w:val="fr-FR"/>
        </w:rPr>
        <w:t>’</w:t>
      </w:r>
      <w:r>
        <w:rPr>
          <w:lang w:val="fr-FR"/>
        </w:rPr>
        <w:t>école, en raison de l</w:t>
      </w:r>
      <w:r>
        <w:rPr>
          <w:lang w:val="fr-FR"/>
        </w:rPr>
        <w:t>’</w:t>
      </w:r>
      <w:r>
        <w:rPr>
          <w:lang w:val="fr-FR"/>
        </w:rPr>
        <w:t>insuffisance des aménagements raisonnables, en particulier dans les territoires d</w:t>
      </w:r>
      <w:r>
        <w:rPr>
          <w:lang w:val="fr-FR"/>
        </w:rPr>
        <w:t>’</w:t>
      </w:r>
      <w:r>
        <w:rPr>
          <w:lang w:val="fr-FR"/>
        </w:rPr>
        <w:t>outre-mer et les zones rurales ;</w:t>
      </w:r>
    </w:p>
    <w:p w14:paraId="4E098EEA" w14:textId="7AFEFC76" w:rsidR="00050CF5" w:rsidRPr="00DC2178" w:rsidRDefault="00050CF5" w:rsidP="00050CF5">
      <w:pPr>
        <w:pStyle w:val="SingleTxtG"/>
        <w:ind w:firstLine="567"/>
        <w:rPr>
          <w:lang w:val="fr-FR"/>
        </w:rPr>
      </w:pPr>
      <w:r>
        <w:rPr>
          <w:lang w:val="fr-FR"/>
        </w:rPr>
        <w:t>d)</w:t>
      </w:r>
      <w:r>
        <w:rPr>
          <w:lang w:val="fr-FR"/>
        </w:rPr>
        <w:tab/>
        <w:t>Que des enfants handicapés, en particulier les enfants ayant des troubles du spectre autistique, continuent d</w:t>
      </w:r>
      <w:r>
        <w:rPr>
          <w:lang w:val="fr-FR"/>
        </w:rPr>
        <w:t>’</w:t>
      </w:r>
      <w:r>
        <w:rPr>
          <w:lang w:val="fr-FR"/>
        </w:rPr>
        <w:t>être placés en institution ;</w:t>
      </w:r>
    </w:p>
    <w:p w14:paraId="5FBC75E8" w14:textId="77777777" w:rsidR="00050CF5" w:rsidRPr="00DC2178" w:rsidRDefault="00050CF5" w:rsidP="00050CF5">
      <w:pPr>
        <w:pStyle w:val="SingleTxtG"/>
        <w:ind w:firstLine="567"/>
        <w:rPr>
          <w:lang w:val="fr-FR"/>
        </w:rPr>
      </w:pPr>
      <w:r>
        <w:rPr>
          <w:lang w:val="fr-FR"/>
        </w:rPr>
        <w:lastRenderedPageBreak/>
        <w:t>e)</w:t>
      </w:r>
      <w:r>
        <w:rPr>
          <w:lang w:val="fr-FR"/>
        </w:rPr>
        <w:tab/>
        <w:t>Que les efforts déployés pour assurer le diagnostic précoce des enfants handicapés, en particulier des enfants ayant des troubles du spectre autistique, demeurent insuffisants.</w:t>
      </w:r>
    </w:p>
    <w:p w14:paraId="5C042962" w14:textId="0E0B47CC" w:rsidR="00050CF5" w:rsidRPr="00DC2178" w:rsidRDefault="00050CF5" w:rsidP="00050CF5">
      <w:pPr>
        <w:pStyle w:val="SingleTxtG"/>
        <w:rPr>
          <w:b/>
          <w:bCs/>
          <w:lang w:val="fr-FR"/>
        </w:rPr>
      </w:pPr>
      <w:r>
        <w:rPr>
          <w:lang w:val="fr-FR"/>
        </w:rPr>
        <w:t>36.</w:t>
      </w:r>
      <w:r>
        <w:rPr>
          <w:lang w:val="fr-FR"/>
        </w:rPr>
        <w:tab/>
      </w:r>
      <w:r>
        <w:rPr>
          <w:b/>
          <w:bCs/>
          <w:lang w:val="fr-FR"/>
        </w:rPr>
        <w:t xml:space="preserve">Renvoyant à son observation générale </w:t>
      </w:r>
      <w:r w:rsidR="00717BCE" w:rsidRPr="00717BCE">
        <w:rPr>
          <w:rFonts w:eastAsia="MS Mincho"/>
          <w:b/>
          <w:bCs/>
          <w:szCs w:val="22"/>
          <w:lang w:val="fr-FR"/>
        </w:rPr>
        <w:t>n</w:t>
      </w:r>
      <w:r w:rsidR="00717BCE" w:rsidRPr="00717BCE">
        <w:rPr>
          <w:rFonts w:eastAsia="MS Mincho"/>
          <w:b/>
          <w:bCs/>
          <w:szCs w:val="22"/>
          <w:vertAlign w:val="superscript"/>
          <w:lang w:val="fr-FR"/>
        </w:rPr>
        <w:t>o</w:t>
      </w:r>
      <w:r w:rsidR="00717BCE">
        <w:rPr>
          <w:b/>
          <w:bCs/>
          <w:lang w:val="fr-FR"/>
        </w:rPr>
        <w:t> </w:t>
      </w:r>
      <w:r>
        <w:rPr>
          <w:b/>
          <w:bCs/>
          <w:lang w:val="fr-FR"/>
        </w:rPr>
        <w:t>9 (2006) sur les droits des enfants handicapés, le Comité demande instamment à l</w:t>
      </w:r>
      <w:r>
        <w:rPr>
          <w:b/>
          <w:bCs/>
          <w:lang w:val="fr-FR"/>
        </w:rPr>
        <w:t>’</w:t>
      </w:r>
      <w:r>
        <w:rPr>
          <w:b/>
          <w:bCs/>
          <w:lang w:val="fr-FR"/>
        </w:rPr>
        <w:t>État partie :</w:t>
      </w:r>
    </w:p>
    <w:p w14:paraId="26B48838" w14:textId="7B6515D8" w:rsidR="00050CF5" w:rsidRPr="00717BCE" w:rsidRDefault="00050CF5" w:rsidP="00050CF5">
      <w:pPr>
        <w:pStyle w:val="SingleTxtG"/>
        <w:ind w:firstLine="567"/>
        <w:rPr>
          <w:b/>
          <w:bCs/>
          <w:lang w:val="fr-FR"/>
        </w:rPr>
      </w:pPr>
      <w:r w:rsidRPr="00717BCE">
        <w:rPr>
          <w:b/>
          <w:bCs/>
          <w:lang w:val="fr-FR"/>
        </w:rPr>
        <w:t>a)</w:t>
      </w:r>
      <w:r w:rsidRPr="00717BCE">
        <w:rPr>
          <w:b/>
          <w:bCs/>
          <w:lang w:val="fr-FR"/>
        </w:rPr>
        <w:tab/>
        <w:t>D</w:t>
      </w:r>
      <w:r w:rsidRPr="00717BCE">
        <w:rPr>
          <w:b/>
          <w:bCs/>
          <w:lang w:val="fr-FR"/>
        </w:rPr>
        <w:t>’</w:t>
      </w:r>
      <w:r w:rsidRPr="00717BCE">
        <w:rPr>
          <w:b/>
          <w:bCs/>
          <w:lang w:val="fr-FR"/>
        </w:rPr>
        <w:t>adopter une approche du handicap fondée sur les droits de l</w:t>
      </w:r>
      <w:r w:rsidRPr="00717BCE">
        <w:rPr>
          <w:b/>
          <w:bCs/>
          <w:lang w:val="fr-FR"/>
        </w:rPr>
        <w:t>’</w:t>
      </w:r>
      <w:r w:rsidRPr="00717BCE">
        <w:rPr>
          <w:b/>
          <w:bCs/>
          <w:lang w:val="fr-FR"/>
        </w:rPr>
        <w:t>homme et d</w:t>
      </w:r>
      <w:r w:rsidRPr="00717BCE">
        <w:rPr>
          <w:b/>
          <w:bCs/>
          <w:lang w:val="fr-FR"/>
        </w:rPr>
        <w:t>’</w:t>
      </w:r>
      <w:r w:rsidRPr="00717BCE">
        <w:rPr>
          <w:b/>
          <w:bCs/>
          <w:lang w:val="fr-FR"/>
        </w:rPr>
        <w:t>élaborer une stratégie globale pour l</w:t>
      </w:r>
      <w:r w:rsidRPr="00717BCE">
        <w:rPr>
          <w:b/>
          <w:bCs/>
          <w:lang w:val="fr-FR"/>
        </w:rPr>
        <w:t>’</w:t>
      </w:r>
      <w:r w:rsidRPr="00717BCE">
        <w:rPr>
          <w:b/>
          <w:bCs/>
          <w:lang w:val="fr-FR"/>
        </w:rPr>
        <w:t>inclusion des enfants handicapés ;</w:t>
      </w:r>
    </w:p>
    <w:p w14:paraId="76DA8A3B" w14:textId="0A6A14DC" w:rsidR="00050CF5" w:rsidRPr="00717BCE" w:rsidRDefault="00050CF5" w:rsidP="00050CF5">
      <w:pPr>
        <w:pStyle w:val="SingleTxtG"/>
        <w:ind w:firstLine="567"/>
        <w:rPr>
          <w:b/>
          <w:bCs/>
          <w:lang w:val="fr-FR"/>
        </w:rPr>
      </w:pPr>
      <w:r w:rsidRPr="00717BCE">
        <w:rPr>
          <w:b/>
          <w:bCs/>
          <w:lang w:val="fr-FR"/>
        </w:rPr>
        <w:t>b)</w:t>
      </w:r>
      <w:r w:rsidRPr="00717BCE">
        <w:rPr>
          <w:b/>
          <w:bCs/>
          <w:lang w:val="fr-FR"/>
        </w:rPr>
        <w:tab/>
        <w:t>D</w:t>
      </w:r>
      <w:r w:rsidRPr="00717BCE">
        <w:rPr>
          <w:b/>
          <w:bCs/>
          <w:lang w:val="fr-FR"/>
        </w:rPr>
        <w:t>’</w:t>
      </w:r>
      <w:r w:rsidRPr="00717BCE">
        <w:rPr>
          <w:b/>
          <w:bCs/>
          <w:lang w:val="fr-FR"/>
        </w:rPr>
        <w:t>augmenter le nombre d</w:t>
      </w:r>
      <w:r w:rsidRPr="00717BCE">
        <w:rPr>
          <w:b/>
          <w:bCs/>
          <w:lang w:val="fr-FR"/>
        </w:rPr>
        <w:t>’</w:t>
      </w:r>
      <w:r w:rsidRPr="00717BCE">
        <w:rPr>
          <w:b/>
          <w:bCs/>
          <w:lang w:val="fr-FR"/>
        </w:rPr>
        <w:t>enseignants spécialisés et de professionnels travaillant dans des classes intégrées et de renforcer leur formation, afin que les enfants ayant des difficultés d</w:t>
      </w:r>
      <w:r w:rsidRPr="00717BCE">
        <w:rPr>
          <w:b/>
          <w:bCs/>
          <w:lang w:val="fr-FR"/>
        </w:rPr>
        <w:t>’</w:t>
      </w:r>
      <w:r w:rsidRPr="00717BCE">
        <w:rPr>
          <w:b/>
          <w:bCs/>
          <w:lang w:val="fr-FR"/>
        </w:rPr>
        <w:t>apprentissage bénéficient d</w:t>
      </w:r>
      <w:r w:rsidRPr="00717BCE">
        <w:rPr>
          <w:b/>
          <w:bCs/>
          <w:lang w:val="fr-FR"/>
        </w:rPr>
        <w:t>’</w:t>
      </w:r>
      <w:r w:rsidRPr="00717BCE">
        <w:rPr>
          <w:b/>
          <w:bCs/>
          <w:lang w:val="fr-FR"/>
        </w:rPr>
        <w:t>un soutien individualisé et reçoivent toute l</w:t>
      </w:r>
      <w:r w:rsidRPr="00717BCE">
        <w:rPr>
          <w:b/>
          <w:bCs/>
          <w:lang w:val="fr-FR"/>
        </w:rPr>
        <w:t>’</w:t>
      </w:r>
      <w:r w:rsidRPr="00717BCE">
        <w:rPr>
          <w:b/>
          <w:bCs/>
          <w:lang w:val="fr-FR"/>
        </w:rPr>
        <w:t>attention nécessaire, y compris en développant l</w:t>
      </w:r>
      <w:r w:rsidRPr="00717BCE">
        <w:rPr>
          <w:b/>
          <w:bCs/>
          <w:lang w:val="fr-FR"/>
        </w:rPr>
        <w:t>’</w:t>
      </w:r>
      <w:r w:rsidRPr="00717BCE">
        <w:rPr>
          <w:b/>
          <w:bCs/>
          <w:lang w:val="fr-FR"/>
        </w:rPr>
        <w:t xml:space="preserve">utilisation de la </w:t>
      </w:r>
      <w:proofErr w:type="spellStart"/>
      <w:r w:rsidRPr="00717BCE">
        <w:rPr>
          <w:b/>
          <w:bCs/>
          <w:lang w:val="fr-FR"/>
        </w:rPr>
        <w:t>plateforme</w:t>
      </w:r>
      <w:proofErr w:type="spellEnd"/>
      <w:r w:rsidRPr="00717BCE">
        <w:rPr>
          <w:b/>
          <w:bCs/>
          <w:lang w:val="fr-FR"/>
        </w:rPr>
        <w:t xml:space="preserve"> «</w:t>
      </w:r>
      <w:r w:rsidR="00717BCE">
        <w:rPr>
          <w:b/>
          <w:bCs/>
          <w:lang w:val="fr-FR"/>
        </w:rPr>
        <w:t> </w:t>
      </w:r>
      <w:r w:rsidRPr="00717BCE">
        <w:rPr>
          <w:b/>
          <w:bCs/>
          <w:lang w:val="fr-FR"/>
        </w:rPr>
        <w:t>Cap école inclusive » sur l</w:t>
      </w:r>
      <w:r w:rsidRPr="00717BCE">
        <w:rPr>
          <w:b/>
          <w:bCs/>
          <w:lang w:val="fr-FR"/>
        </w:rPr>
        <w:t>’</w:t>
      </w:r>
      <w:r w:rsidRPr="00717BCE">
        <w:rPr>
          <w:b/>
          <w:bCs/>
          <w:lang w:val="fr-FR"/>
        </w:rPr>
        <w:t>ensemble de son territoire ;</w:t>
      </w:r>
    </w:p>
    <w:p w14:paraId="38F5FAFC" w14:textId="5115B19C" w:rsidR="00050CF5" w:rsidRPr="00717BCE" w:rsidRDefault="00050CF5" w:rsidP="00050CF5">
      <w:pPr>
        <w:pStyle w:val="SingleTxtG"/>
        <w:ind w:firstLine="567"/>
        <w:rPr>
          <w:b/>
          <w:bCs/>
          <w:lang w:val="fr-FR"/>
        </w:rPr>
      </w:pPr>
      <w:r w:rsidRPr="00717BCE">
        <w:rPr>
          <w:b/>
          <w:bCs/>
          <w:lang w:val="fr-FR"/>
        </w:rPr>
        <w:t>c)</w:t>
      </w:r>
      <w:r w:rsidRPr="00717BCE">
        <w:rPr>
          <w:b/>
          <w:bCs/>
          <w:lang w:val="fr-FR"/>
        </w:rPr>
        <w:tab/>
        <w:t>De prendre des mesures pour promouvoir et assurer l</w:t>
      </w:r>
      <w:r w:rsidRPr="00717BCE">
        <w:rPr>
          <w:b/>
          <w:bCs/>
          <w:lang w:val="fr-FR"/>
        </w:rPr>
        <w:t>’</w:t>
      </w:r>
      <w:r w:rsidRPr="00717BCE">
        <w:rPr>
          <w:b/>
          <w:bCs/>
          <w:lang w:val="fr-FR"/>
        </w:rPr>
        <w:t>inclusion des enfants handicapés dans tous les domaines de la vie et améliorer l</w:t>
      </w:r>
      <w:r w:rsidRPr="00717BCE">
        <w:rPr>
          <w:b/>
          <w:bCs/>
          <w:lang w:val="fr-FR"/>
        </w:rPr>
        <w:t>’</w:t>
      </w:r>
      <w:r w:rsidRPr="00717BCE">
        <w:rPr>
          <w:b/>
          <w:bCs/>
          <w:lang w:val="fr-FR"/>
        </w:rPr>
        <w:t>accessibilité des écoles inclusives, en particulier dans les territoires d</w:t>
      </w:r>
      <w:r w:rsidRPr="00717BCE">
        <w:rPr>
          <w:b/>
          <w:bCs/>
          <w:lang w:val="fr-FR"/>
        </w:rPr>
        <w:t>’</w:t>
      </w:r>
      <w:r w:rsidRPr="00717BCE">
        <w:rPr>
          <w:b/>
          <w:bCs/>
          <w:lang w:val="fr-FR"/>
        </w:rPr>
        <w:t>outre-mer et les zones rurales ;</w:t>
      </w:r>
    </w:p>
    <w:p w14:paraId="4FAA71A2" w14:textId="14A03E02" w:rsidR="00050CF5" w:rsidRPr="00717BCE" w:rsidRDefault="00050CF5" w:rsidP="00050CF5">
      <w:pPr>
        <w:pStyle w:val="SingleTxtG"/>
        <w:ind w:firstLine="567"/>
        <w:rPr>
          <w:b/>
          <w:bCs/>
          <w:lang w:val="fr-FR"/>
        </w:rPr>
      </w:pPr>
      <w:r w:rsidRPr="00717BCE">
        <w:rPr>
          <w:b/>
          <w:bCs/>
          <w:lang w:val="fr-FR"/>
        </w:rPr>
        <w:t>d)</w:t>
      </w:r>
      <w:r w:rsidRPr="00717BCE">
        <w:rPr>
          <w:b/>
          <w:bCs/>
          <w:lang w:val="fr-FR"/>
        </w:rPr>
        <w:tab/>
        <w:t>De prendre des mesures pour faire baisser le nombre d</w:t>
      </w:r>
      <w:r w:rsidRPr="00717BCE">
        <w:rPr>
          <w:b/>
          <w:bCs/>
          <w:lang w:val="fr-FR"/>
        </w:rPr>
        <w:t>’</w:t>
      </w:r>
      <w:r w:rsidRPr="00717BCE">
        <w:rPr>
          <w:b/>
          <w:bCs/>
          <w:lang w:val="fr-FR"/>
        </w:rPr>
        <w:t>enfants handicapés placés en institution et assurer un contrôle régulier de ces institutions ;</w:t>
      </w:r>
    </w:p>
    <w:p w14:paraId="58D636C1" w14:textId="1D16D991" w:rsidR="00050CF5" w:rsidRPr="00DC2178" w:rsidRDefault="00050CF5" w:rsidP="00050CF5">
      <w:pPr>
        <w:pStyle w:val="SingleTxtG"/>
        <w:ind w:firstLine="567"/>
        <w:rPr>
          <w:b/>
          <w:bCs/>
          <w:lang w:val="fr-FR"/>
        </w:rPr>
      </w:pPr>
      <w:r w:rsidRPr="00717BCE">
        <w:rPr>
          <w:b/>
          <w:bCs/>
          <w:lang w:val="fr-FR"/>
        </w:rPr>
        <w:t>e)</w:t>
      </w:r>
      <w:r>
        <w:rPr>
          <w:lang w:val="fr-FR"/>
        </w:rPr>
        <w:tab/>
      </w:r>
      <w:r>
        <w:rPr>
          <w:b/>
          <w:bCs/>
          <w:lang w:val="fr-FR"/>
        </w:rPr>
        <w:t>De prendre immédiatement des mesures pour que les enfants handicapés, en particulier les enfants ayant des troubles du spectre autistique, aient accès aux soins de santé, y compris aux programmes de dépistage et d</w:t>
      </w:r>
      <w:r>
        <w:rPr>
          <w:b/>
          <w:bCs/>
          <w:lang w:val="fr-FR"/>
        </w:rPr>
        <w:t>’</w:t>
      </w:r>
      <w:r>
        <w:rPr>
          <w:b/>
          <w:bCs/>
          <w:lang w:val="fr-FR"/>
        </w:rPr>
        <w:t>intervention précoces.</w:t>
      </w:r>
    </w:p>
    <w:p w14:paraId="2CFF8153" w14:textId="53D94081" w:rsidR="00050CF5" w:rsidRPr="00DC2178" w:rsidRDefault="00717BCE" w:rsidP="00050CF5">
      <w:pPr>
        <w:pStyle w:val="H1G"/>
        <w:rPr>
          <w:bCs/>
          <w:lang w:val="fr-FR"/>
        </w:rPr>
      </w:pPr>
      <w:r>
        <w:rPr>
          <w:bCs/>
          <w:lang w:val="fr-FR"/>
        </w:rPr>
        <w:tab/>
      </w:r>
      <w:r w:rsidR="00050CF5">
        <w:rPr>
          <w:bCs/>
          <w:lang w:val="fr-FR"/>
        </w:rPr>
        <w:t>G.</w:t>
      </w:r>
      <w:r w:rsidR="00050CF5">
        <w:rPr>
          <w:lang w:val="fr-FR"/>
        </w:rPr>
        <w:tab/>
      </w:r>
      <w:r w:rsidR="00050CF5">
        <w:rPr>
          <w:bCs/>
          <w:lang w:val="fr-FR"/>
        </w:rPr>
        <w:t xml:space="preserve">Santé de base et protection sociale (art. 6, 18 (par. 3), 24, 26, </w:t>
      </w:r>
      <w:r>
        <w:rPr>
          <w:bCs/>
          <w:lang w:val="fr-FR"/>
        </w:rPr>
        <w:br/>
      </w:r>
      <w:r w:rsidR="00050CF5">
        <w:rPr>
          <w:bCs/>
          <w:lang w:val="fr-FR"/>
        </w:rPr>
        <w:t>27 (par. 1 à 3) et 33)</w:t>
      </w:r>
    </w:p>
    <w:p w14:paraId="6111269D" w14:textId="0C66147A" w:rsidR="00050CF5" w:rsidRPr="00DC2178" w:rsidRDefault="00050CF5" w:rsidP="00050CF5">
      <w:pPr>
        <w:pStyle w:val="H23G"/>
        <w:rPr>
          <w:rFonts w:eastAsia="Malgun Gothic"/>
          <w:bCs/>
          <w:lang w:val="fr-FR"/>
        </w:rPr>
      </w:pPr>
      <w:r>
        <w:rPr>
          <w:lang w:val="fr-FR"/>
        </w:rPr>
        <w:tab/>
      </w:r>
      <w:r>
        <w:rPr>
          <w:lang w:val="fr-FR"/>
        </w:rPr>
        <w:tab/>
      </w:r>
      <w:r>
        <w:rPr>
          <w:lang w:val="fr-FR"/>
        </w:rPr>
        <w:tab/>
      </w:r>
      <w:r>
        <w:rPr>
          <w:bCs/>
          <w:lang w:val="fr-FR"/>
        </w:rPr>
        <w:t>Santé et services de santé</w:t>
      </w:r>
    </w:p>
    <w:p w14:paraId="6A035097" w14:textId="7D2B91E8" w:rsidR="00050CF5" w:rsidRPr="00DC2178" w:rsidRDefault="00050CF5" w:rsidP="00050CF5">
      <w:pPr>
        <w:pStyle w:val="SingleTxtG"/>
        <w:rPr>
          <w:b/>
          <w:bCs/>
          <w:lang w:val="fr-FR"/>
        </w:rPr>
      </w:pPr>
      <w:r>
        <w:rPr>
          <w:lang w:val="fr-FR"/>
        </w:rPr>
        <w:t>37.</w:t>
      </w:r>
      <w:r>
        <w:rPr>
          <w:lang w:val="fr-FR"/>
        </w:rPr>
        <w:tab/>
      </w:r>
      <w:r>
        <w:rPr>
          <w:b/>
          <w:bCs/>
          <w:lang w:val="fr-FR"/>
        </w:rPr>
        <w:t>Prenant note de la stratégie «</w:t>
      </w:r>
      <w:r w:rsidR="00717BCE">
        <w:rPr>
          <w:b/>
          <w:bCs/>
          <w:lang w:val="fr-FR"/>
        </w:rPr>
        <w:t> </w:t>
      </w:r>
      <w:r>
        <w:rPr>
          <w:b/>
          <w:bCs/>
          <w:lang w:val="fr-FR"/>
        </w:rPr>
        <w:t>1</w:t>
      </w:r>
      <w:r w:rsidR="00717BCE">
        <w:rPr>
          <w:b/>
          <w:bCs/>
          <w:lang w:val="fr-FR"/>
        </w:rPr>
        <w:t> </w:t>
      </w:r>
      <w:r>
        <w:rPr>
          <w:b/>
          <w:bCs/>
          <w:lang w:val="fr-FR"/>
        </w:rPr>
        <w:t>000 premiers jours</w:t>
      </w:r>
      <w:r w:rsidR="00717BCE">
        <w:rPr>
          <w:b/>
          <w:bCs/>
          <w:lang w:val="fr-FR"/>
        </w:rPr>
        <w:t> </w:t>
      </w:r>
      <w:r>
        <w:rPr>
          <w:b/>
          <w:bCs/>
          <w:lang w:val="fr-FR"/>
        </w:rPr>
        <w:t xml:space="preserve">», qui couvre les soins prénatals et </w:t>
      </w:r>
      <w:proofErr w:type="spellStart"/>
      <w:r>
        <w:rPr>
          <w:b/>
          <w:bCs/>
          <w:lang w:val="fr-FR"/>
        </w:rPr>
        <w:t>postnatals</w:t>
      </w:r>
      <w:proofErr w:type="spellEnd"/>
      <w:r>
        <w:rPr>
          <w:b/>
          <w:bCs/>
          <w:lang w:val="fr-FR"/>
        </w:rPr>
        <w:t xml:space="preserve"> visant à protéger la mère et l</w:t>
      </w:r>
      <w:r>
        <w:rPr>
          <w:b/>
          <w:bCs/>
          <w:lang w:val="fr-FR"/>
        </w:rPr>
        <w:t>’</w:t>
      </w:r>
      <w:r>
        <w:rPr>
          <w:b/>
          <w:bCs/>
          <w:lang w:val="fr-FR"/>
        </w:rPr>
        <w:t xml:space="preserve">enfant, le Comité renvoie à son observation générale </w:t>
      </w:r>
      <w:r w:rsidR="00717BCE" w:rsidRPr="00D46FD4">
        <w:rPr>
          <w:rFonts w:eastAsia="MS Mincho"/>
          <w:b/>
          <w:bCs/>
          <w:szCs w:val="22"/>
          <w:lang w:val="fr-FR"/>
        </w:rPr>
        <w:t>n</w:t>
      </w:r>
      <w:r w:rsidR="00717BCE" w:rsidRPr="00D46FD4">
        <w:rPr>
          <w:rFonts w:eastAsia="MS Mincho"/>
          <w:b/>
          <w:bCs/>
          <w:szCs w:val="22"/>
          <w:vertAlign w:val="superscript"/>
          <w:lang w:val="fr-FR"/>
        </w:rPr>
        <w:t>o</w:t>
      </w:r>
      <w:r w:rsidR="00717BCE">
        <w:rPr>
          <w:b/>
          <w:bCs/>
          <w:lang w:val="fr-FR"/>
        </w:rPr>
        <w:t> </w:t>
      </w:r>
      <w:r>
        <w:rPr>
          <w:b/>
          <w:bCs/>
          <w:lang w:val="fr-FR"/>
        </w:rPr>
        <w:t>15 (2013) sur le droit de l</w:t>
      </w:r>
      <w:r>
        <w:rPr>
          <w:b/>
          <w:bCs/>
          <w:lang w:val="fr-FR"/>
        </w:rPr>
        <w:t>’</w:t>
      </w:r>
      <w:r>
        <w:rPr>
          <w:b/>
          <w:bCs/>
          <w:lang w:val="fr-FR"/>
        </w:rPr>
        <w:t>enfant de jouir du meilleur état de santé possible, rappelle les cibles 3.1 et 3.2 des objectifs de développement durable et recommande à l</w:t>
      </w:r>
      <w:r>
        <w:rPr>
          <w:b/>
          <w:bCs/>
          <w:lang w:val="fr-FR"/>
        </w:rPr>
        <w:t>’</w:t>
      </w:r>
      <w:r>
        <w:rPr>
          <w:b/>
          <w:bCs/>
          <w:lang w:val="fr-FR"/>
        </w:rPr>
        <w:t>État partie :</w:t>
      </w:r>
    </w:p>
    <w:p w14:paraId="1C379EDA" w14:textId="441DD8AF" w:rsidR="00050CF5" w:rsidRPr="00717BCE" w:rsidRDefault="00050CF5" w:rsidP="00050CF5">
      <w:pPr>
        <w:pStyle w:val="SingleTxtG"/>
        <w:ind w:firstLine="567"/>
        <w:rPr>
          <w:b/>
          <w:bCs/>
          <w:lang w:val="fr-FR"/>
        </w:rPr>
      </w:pPr>
      <w:r w:rsidRPr="00717BCE">
        <w:rPr>
          <w:b/>
          <w:bCs/>
          <w:lang w:val="fr-FR"/>
        </w:rPr>
        <w:t>a)</w:t>
      </w:r>
      <w:r w:rsidRPr="00717BCE">
        <w:rPr>
          <w:b/>
          <w:bCs/>
          <w:lang w:val="fr-FR"/>
        </w:rPr>
        <w:tab/>
        <w:t>D</w:t>
      </w:r>
      <w:r w:rsidRPr="00717BCE">
        <w:rPr>
          <w:b/>
          <w:bCs/>
          <w:lang w:val="fr-FR"/>
        </w:rPr>
        <w:t>’</w:t>
      </w:r>
      <w:r w:rsidRPr="00717BCE">
        <w:rPr>
          <w:b/>
          <w:bCs/>
          <w:lang w:val="fr-FR"/>
        </w:rPr>
        <w:t>appliquer la stratégie «</w:t>
      </w:r>
      <w:r w:rsidR="00717BCE">
        <w:rPr>
          <w:b/>
          <w:bCs/>
          <w:lang w:val="fr-FR"/>
        </w:rPr>
        <w:t> </w:t>
      </w:r>
      <w:r w:rsidRPr="00717BCE">
        <w:rPr>
          <w:b/>
          <w:bCs/>
          <w:lang w:val="fr-FR"/>
        </w:rPr>
        <w:t>1</w:t>
      </w:r>
      <w:r w:rsidR="00717BCE">
        <w:rPr>
          <w:b/>
          <w:bCs/>
          <w:lang w:val="fr-FR"/>
        </w:rPr>
        <w:t> </w:t>
      </w:r>
      <w:r w:rsidRPr="00717BCE">
        <w:rPr>
          <w:b/>
          <w:bCs/>
          <w:lang w:val="fr-FR"/>
        </w:rPr>
        <w:t>000 premiers jours</w:t>
      </w:r>
      <w:r w:rsidR="00717BCE">
        <w:rPr>
          <w:b/>
          <w:bCs/>
          <w:lang w:val="fr-FR"/>
        </w:rPr>
        <w:t> </w:t>
      </w:r>
      <w:r w:rsidRPr="00717BCE">
        <w:rPr>
          <w:b/>
          <w:bCs/>
          <w:lang w:val="fr-FR"/>
        </w:rPr>
        <w:t>» sur la base d</w:t>
      </w:r>
      <w:r w:rsidRPr="00717BCE">
        <w:rPr>
          <w:b/>
          <w:bCs/>
          <w:lang w:val="fr-FR"/>
        </w:rPr>
        <w:t>’</w:t>
      </w:r>
      <w:r w:rsidRPr="00717BCE">
        <w:rPr>
          <w:b/>
          <w:bCs/>
          <w:lang w:val="fr-FR"/>
        </w:rPr>
        <w:t>objectifs réalistes et réalisables ;</w:t>
      </w:r>
    </w:p>
    <w:p w14:paraId="1CD5DD8D" w14:textId="6F9BF5D9" w:rsidR="00050CF5" w:rsidRPr="00717BCE" w:rsidRDefault="00050CF5" w:rsidP="00050CF5">
      <w:pPr>
        <w:pStyle w:val="SingleTxtG"/>
        <w:ind w:firstLine="567"/>
        <w:rPr>
          <w:b/>
          <w:bCs/>
          <w:lang w:val="fr-FR"/>
        </w:rPr>
      </w:pPr>
      <w:r w:rsidRPr="00717BCE">
        <w:rPr>
          <w:b/>
          <w:bCs/>
          <w:lang w:val="fr-FR"/>
        </w:rPr>
        <w:t>b)</w:t>
      </w:r>
      <w:r w:rsidRPr="00717BCE">
        <w:rPr>
          <w:b/>
          <w:bCs/>
          <w:lang w:val="fr-FR"/>
        </w:rPr>
        <w:tab/>
        <w:t>De mettre en place un soutien approprié pour que les enfants nés dans les familles les plus défavorisées bénéficient d</w:t>
      </w:r>
      <w:r w:rsidRPr="00717BCE">
        <w:rPr>
          <w:b/>
          <w:bCs/>
          <w:lang w:val="fr-FR"/>
        </w:rPr>
        <w:t>’</w:t>
      </w:r>
      <w:r w:rsidRPr="00717BCE">
        <w:rPr>
          <w:b/>
          <w:bCs/>
          <w:lang w:val="fr-FR"/>
        </w:rPr>
        <w:t>un environnement physiquement et émotionnellement stimulant et sûr ;</w:t>
      </w:r>
    </w:p>
    <w:p w14:paraId="53A12138" w14:textId="37CA70E0" w:rsidR="00050CF5" w:rsidRPr="00717BCE" w:rsidRDefault="00050CF5" w:rsidP="00050CF5">
      <w:pPr>
        <w:pStyle w:val="SingleTxtG"/>
        <w:ind w:firstLine="567"/>
        <w:rPr>
          <w:b/>
          <w:bCs/>
          <w:lang w:val="fr-FR"/>
        </w:rPr>
      </w:pPr>
      <w:r w:rsidRPr="00717BCE">
        <w:rPr>
          <w:b/>
          <w:bCs/>
          <w:lang w:val="fr-FR"/>
        </w:rPr>
        <w:t>c)</w:t>
      </w:r>
      <w:r w:rsidRPr="00717BCE">
        <w:rPr>
          <w:b/>
          <w:bCs/>
          <w:lang w:val="fr-FR"/>
        </w:rPr>
        <w:tab/>
        <w:t>De redoubler d</w:t>
      </w:r>
      <w:r w:rsidRPr="00717BCE">
        <w:rPr>
          <w:b/>
          <w:bCs/>
          <w:lang w:val="fr-FR"/>
        </w:rPr>
        <w:t>’</w:t>
      </w:r>
      <w:r w:rsidRPr="00717BCE">
        <w:rPr>
          <w:b/>
          <w:bCs/>
          <w:lang w:val="fr-FR"/>
        </w:rPr>
        <w:t>efforts pour réduire les disparités existantes dans l</w:t>
      </w:r>
      <w:r w:rsidRPr="00717BCE">
        <w:rPr>
          <w:b/>
          <w:bCs/>
          <w:lang w:val="fr-FR"/>
        </w:rPr>
        <w:t>’</w:t>
      </w:r>
      <w:r w:rsidRPr="00717BCE">
        <w:rPr>
          <w:b/>
          <w:bCs/>
          <w:lang w:val="fr-FR"/>
        </w:rPr>
        <w:t>accès des enfants et des mères aux services de santé dans les territoires d</w:t>
      </w:r>
      <w:r w:rsidRPr="00717BCE">
        <w:rPr>
          <w:b/>
          <w:bCs/>
          <w:lang w:val="fr-FR"/>
        </w:rPr>
        <w:t>’</w:t>
      </w:r>
      <w:r w:rsidRPr="00717BCE">
        <w:rPr>
          <w:b/>
          <w:bCs/>
          <w:lang w:val="fr-FR"/>
        </w:rPr>
        <w:t>outre-mer ;</w:t>
      </w:r>
    </w:p>
    <w:p w14:paraId="6784479E" w14:textId="2FEEF03E" w:rsidR="00050CF5" w:rsidRPr="00DC2178" w:rsidRDefault="00050CF5" w:rsidP="00050CF5">
      <w:pPr>
        <w:pStyle w:val="SingleTxtG"/>
        <w:ind w:firstLine="567"/>
        <w:rPr>
          <w:b/>
          <w:bCs/>
          <w:lang w:val="fr-FR"/>
        </w:rPr>
      </w:pPr>
      <w:r w:rsidRPr="00717BCE">
        <w:rPr>
          <w:b/>
          <w:bCs/>
          <w:lang w:val="fr-FR"/>
        </w:rPr>
        <w:t>d)</w:t>
      </w:r>
      <w:r w:rsidRPr="00717BCE">
        <w:rPr>
          <w:b/>
          <w:bCs/>
          <w:lang w:val="fr-FR"/>
        </w:rPr>
        <w:tab/>
        <w:t>De remédier aux carences en matière de ressources et de personnel médical, de</w:t>
      </w:r>
      <w:r>
        <w:rPr>
          <w:b/>
          <w:bCs/>
          <w:lang w:val="fr-FR"/>
        </w:rPr>
        <w:t xml:space="preserve"> services et de structures, en particulier dans les écoles et les centres de protection maternelle et infantile, et de prendre en considération les besoins particuliers des enfants, en particulier des enfants qui vivent dans les territoires d</w:t>
      </w:r>
      <w:r>
        <w:rPr>
          <w:b/>
          <w:bCs/>
          <w:lang w:val="fr-FR"/>
        </w:rPr>
        <w:t>’</w:t>
      </w:r>
      <w:r>
        <w:rPr>
          <w:b/>
          <w:bCs/>
          <w:lang w:val="fr-FR"/>
        </w:rPr>
        <w:t>outre-mer ou dans des établissements informels.</w:t>
      </w:r>
    </w:p>
    <w:p w14:paraId="58BC7647" w14:textId="77777777" w:rsidR="00050CF5" w:rsidRPr="00DC2178" w:rsidRDefault="00050CF5" w:rsidP="00050CF5">
      <w:pPr>
        <w:pStyle w:val="H23G"/>
        <w:rPr>
          <w:bCs/>
          <w:lang w:val="fr-FR"/>
        </w:rPr>
      </w:pPr>
      <w:r>
        <w:rPr>
          <w:lang w:val="fr-FR"/>
        </w:rPr>
        <w:tab/>
      </w:r>
      <w:r>
        <w:rPr>
          <w:lang w:val="fr-FR"/>
        </w:rPr>
        <w:tab/>
      </w:r>
      <w:r>
        <w:rPr>
          <w:bCs/>
          <w:lang w:val="fr-FR"/>
        </w:rPr>
        <w:t>Santé mentale</w:t>
      </w:r>
    </w:p>
    <w:p w14:paraId="511261A0" w14:textId="52FDDFD7" w:rsidR="00050CF5" w:rsidRPr="00DC2178" w:rsidRDefault="00050CF5" w:rsidP="00050CF5">
      <w:pPr>
        <w:pStyle w:val="SingleTxtG"/>
        <w:rPr>
          <w:b/>
          <w:bCs/>
          <w:lang w:val="fr-FR"/>
        </w:rPr>
      </w:pPr>
      <w:r>
        <w:rPr>
          <w:lang w:val="fr-FR"/>
        </w:rPr>
        <w:t>38.</w:t>
      </w:r>
      <w:r>
        <w:rPr>
          <w:lang w:val="fr-FR"/>
        </w:rPr>
        <w:tab/>
      </w:r>
      <w:r>
        <w:rPr>
          <w:b/>
          <w:bCs/>
          <w:lang w:val="fr-FR"/>
        </w:rPr>
        <w:t>Rappelant la cible 3.4 des objectifs de développement durable, le Comité recommande à l</w:t>
      </w:r>
      <w:r>
        <w:rPr>
          <w:b/>
          <w:bCs/>
          <w:lang w:val="fr-FR"/>
        </w:rPr>
        <w:t>’</w:t>
      </w:r>
      <w:r>
        <w:rPr>
          <w:b/>
          <w:bCs/>
          <w:lang w:val="fr-FR"/>
        </w:rPr>
        <w:t>État partie :</w:t>
      </w:r>
    </w:p>
    <w:p w14:paraId="49381D2D" w14:textId="5E3C6A55" w:rsidR="00050CF5" w:rsidRPr="00717BCE" w:rsidRDefault="00050CF5" w:rsidP="00050CF5">
      <w:pPr>
        <w:pStyle w:val="SingleTxtG"/>
        <w:ind w:firstLine="567"/>
        <w:rPr>
          <w:b/>
          <w:bCs/>
          <w:lang w:val="fr-FR"/>
        </w:rPr>
      </w:pPr>
      <w:r w:rsidRPr="00717BCE">
        <w:rPr>
          <w:b/>
          <w:bCs/>
          <w:lang w:val="fr-FR"/>
        </w:rPr>
        <w:t>a)</w:t>
      </w:r>
      <w:r w:rsidRPr="00717BCE">
        <w:rPr>
          <w:b/>
          <w:bCs/>
          <w:lang w:val="fr-FR"/>
        </w:rPr>
        <w:tab/>
        <w:t>De réaliser une étude sur l</w:t>
      </w:r>
      <w:r w:rsidRPr="00717BCE">
        <w:rPr>
          <w:b/>
          <w:bCs/>
          <w:lang w:val="fr-FR"/>
        </w:rPr>
        <w:t>’</w:t>
      </w:r>
      <w:r w:rsidRPr="00717BCE">
        <w:rPr>
          <w:b/>
          <w:bCs/>
          <w:lang w:val="fr-FR"/>
        </w:rPr>
        <w:t>épidémiologie des problèmes de santé mentale chez les enfants et d</w:t>
      </w:r>
      <w:r w:rsidRPr="00717BCE">
        <w:rPr>
          <w:b/>
          <w:bCs/>
          <w:lang w:val="fr-FR"/>
        </w:rPr>
        <w:t>’</w:t>
      </w:r>
      <w:r w:rsidRPr="00717BCE">
        <w:rPr>
          <w:b/>
          <w:bCs/>
          <w:lang w:val="fr-FR"/>
        </w:rPr>
        <w:t>élaborer une stratégie nationale pour la santé mentale des enfants, axée particulièrement sur les enfants en situation de vulnérabilité, notamment les enfants en contact avec le système judiciaire et les enfants relevant du système de protection de la jeunesse ;</w:t>
      </w:r>
    </w:p>
    <w:p w14:paraId="08C43053" w14:textId="683AFFA1" w:rsidR="00050CF5" w:rsidRPr="00717BCE" w:rsidRDefault="00050CF5" w:rsidP="00050CF5">
      <w:pPr>
        <w:pStyle w:val="SingleTxtG"/>
        <w:ind w:firstLine="567"/>
        <w:rPr>
          <w:b/>
          <w:bCs/>
          <w:lang w:val="fr-FR"/>
        </w:rPr>
      </w:pPr>
      <w:r w:rsidRPr="00717BCE">
        <w:rPr>
          <w:b/>
          <w:bCs/>
          <w:lang w:val="fr-FR"/>
        </w:rPr>
        <w:lastRenderedPageBreak/>
        <w:t>b)</w:t>
      </w:r>
      <w:r w:rsidRPr="00717BCE">
        <w:rPr>
          <w:b/>
          <w:bCs/>
          <w:lang w:val="fr-FR"/>
        </w:rPr>
        <w:tab/>
        <w:t>De mettre en place des garanties relatives à l</w:t>
      </w:r>
      <w:r w:rsidRPr="00717BCE">
        <w:rPr>
          <w:b/>
          <w:bCs/>
          <w:lang w:val="fr-FR"/>
        </w:rPr>
        <w:t>’</w:t>
      </w:r>
      <w:r w:rsidRPr="00717BCE">
        <w:rPr>
          <w:b/>
          <w:bCs/>
          <w:lang w:val="fr-FR"/>
        </w:rPr>
        <w:t>hospitalisation des enfants dans des établissements de santé mentale, d</w:t>
      </w:r>
      <w:r w:rsidRPr="00717BCE">
        <w:rPr>
          <w:b/>
          <w:bCs/>
          <w:lang w:val="fr-FR"/>
        </w:rPr>
        <w:t>’</w:t>
      </w:r>
      <w:r w:rsidRPr="00717BCE">
        <w:rPr>
          <w:b/>
          <w:bCs/>
          <w:lang w:val="fr-FR"/>
        </w:rPr>
        <w:t>interdire le placement d</w:t>
      </w:r>
      <w:r w:rsidRPr="00717BCE">
        <w:rPr>
          <w:b/>
          <w:bCs/>
          <w:lang w:val="fr-FR"/>
        </w:rPr>
        <w:t>’</w:t>
      </w:r>
      <w:r w:rsidRPr="00717BCE">
        <w:rPr>
          <w:b/>
          <w:bCs/>
          <w:lang w:val="fr-FR"/>
        </w:rPr>
        <w:t>enfants en chambre d</w:t>
      </w:r>
      <w:r w:rsidRPr="00717BCE">
        <w:rPr>
          <w:b/>
          <w:bCs/>
          <w:lang w:val="fr-FR"/>
        </w:rPr>
        <w:t>’</w:t>
      </w:r>
      <w:r w:rsidRPr="00717BCE">
        <w:rPr>
          <w:b/>
          <w:bCs/>
          <w:lang w:val="fr-FR"/>
        </w:rPr>
        <w:t>isolement et dans les unités pour adultes des établissements de santé mentale, de développer les services ambulatoires et les centres polyvalents de pédopsychiatrie, et d</w:t>
      </w:r>
      <w:r w:rsidRPr="00717BCE">
        <w:rPr>
          <w:b/>
          <w:bCs/>
          <w:lang w:val="fr-FR"/>
        </w:rPr>
        <w:t>’</w:t>
      </w:r>
      <w:r w:rsidRPr="00717BCE">
        <w:rPr>
          <w:b/>
          <w:bCs/>
          <w:lang w:val="fr-FR"/>
        </w:rPr>
        <w:t>augmenter le nombre de services de pédopsychiatrie et d</w:t>
      </w:r>
      <w:r w:rsidRPr="00717BCE">
        <w:rPr>
          <w:b/>
          <w:bCs/>
          <w:lang w:val="fr-FR"/>
        </w:rPr>
        <w:t>’</w:t>
      </w:r>
      <w:r w:rsidRPr="00717BCE">
        <w:rPr>
          <w:b/>
          <w:bCs/>
          <w:lang w:val="fr-FR"/>
        </w:rPr>
        <w:t>accroître les ressources dont ils disposent ;</w:t>
      </w:r>
    </w:p>
    <w:p w14:paraId="697EA5FC" w14:textId="77777777" w:rsidR="00050CF5" w:rsidRPr="00717BCE" w:rsidRDefault="00050CF5" w:rsidP="00050CF5">
      <w:pPr>
        <w:pStyle w:val="SingleTxtG"/>
        <w:ind w:firstLine="567"/>
        <w:rPr>
          <w:b/>
          <w:bCs/>
          <w:lang w:val="fr-FR"/>
        </w:rPr>
      </w:pPr>
      <w:r w:rsidRPr="00717BCE">
        <w:rPr>
          <w:b/>
          <w:bCs/>
          <w:lang w:val="fr-FR"/>
        </w:rPr>
        <w:t>c)</w:t>
      </w:r>
      <w:r w:rsidRPr="00717BCE">
        <w:rPr>
          <w:b/>
          <w:bCs/>
          <w:lang w:val="fr-FR"/>
        </w:rPr>
        <w:tab/>
        <w:t>De réaliser une analyse de situation afin de détecter et de recenser les facteurs de risque associés au suicide, en particulier chez les adolescents, et de veiller à la mise en place de services de prévention efficaces, notamment de services de santé mentale ;</w:t>
      </w:r>
    </w:p>
    <w:p w14:paraId="3AB2997A" w14:textId="1B1C86F9" w:rsidR="00050CF5" w:rsidRPr="00717BCE" w:rsidRDefault="00050CF5" w:rsidP="00050CF5">
      <w:pPr>
        <w:pStyle w:val="SingleTxtG"/>
        <w:ind w:firstLine="567"/>
        <w:rPr>
          <w:b/>
          <w:bCs/>
          <w:lang w:val="fr-FR"/>
        </w:rPr>
      </w:pPr>
      <w:r w:rsidRPr="00717BCE">
        <w:rPr>
          <w:b/>
          <w:bCs/>
          <w:lang w:val="fr-FR"/>
        </w:rPr>
        <w:t>d)</w:t>
      </w:r>
      <w:r w:rsidRPr="00717BCE">
        <w:rPr>
          <w:b/>
          <w:bCs/>
          <w:lang w:val="fr-FR"/>
        </w:rPr>
        <w:tab/>
        <w:t>De continuer à renforcer les mesures de lutte contre l</w:t>
      </w:r>
      <w:r w:rsidRPr="00717BCE">
        <w:rPr>
          <w:b/>
          <w:bCs/>
          <w:lang w:val="fr-FR"/>
        </w:rPr>
        <w:t>’</w:t>
      </w:r>
      <w:r w:rsidRPr="00717BCE">
        <w:rPr>
          <w:b/>
          <w:bCs/>
          <w:lang w:val="fr-FR"/>
        </w:rPr>
        <w:t>insomnie chez les enfants ;</w:t>
      </w:r>
    </w:p>
    <w:p w14:paraId="70B6AA7E" w14:textId="3E03AE42" w:rsidR="00050CF5" w:rsidRPr="00DC2178" w:rsidRDefault="00050CF5" w:rsidP="00050CF5">
      <w:pPr>
        <w:pStyle w:val="SingleTxtG"/>
        <w:ind w:firstLine="567"/>
        <w:rPr>
          <w:b/>
          <w:bCs/>
          <w:lang w:val="fr-FR"/>
        </w:rPr>
      </w:pPr>
      <w:r w:rsidRPr="00717BCE">
        <w:rPr>
          <w:b/>
          <w:bCs/>
          <w:lang w:val="fr-FR"/>
        </w:rPr>
        <w:t>e)</w:t>
      </w:r>
      <w:r w:rsidRPr="00717BCE">
        <w:rPr>
          <w:b/>
          <w:bCs/>
          <w:lang w:val="fr-FR"/>
        </w:rPr>
        <w:tab/>
      </w:r>
      <w:r>
        <w:rPr>
          <w:b/>
          <w:bCs/>
          <w:lang w:val="fr-FR"/>
        </w:rPr>
        <w:t>D</w:t>
      </w:r>
      <w:r>
        <w:rPr>
          <w:b/>
          <w:bCs/>
          <w:lang w:val="fr-FR"/>
        </w:rPr>
        <w:t>’</w:t>
      </w:r>
      <w:r>
        <w:rPr>
          <w:b/>
          <w:bCs/>
          <w:lang w:val="fr-FR"/>
        </w:rPr>
        <w:t>augmenter le nombre de professionnels qui travaillent dans le domaine de la santé mentale des enfants, tels que les pédopsychiatres et les pédopsychologues.</w:t>
      </w:r>
    </w:p>
    <w:p w14:paraId="2AB7A76D" w14:textId="77777777" w:rsidR="00050CF5" w:rsidRPr="00DC2178" w:rsidRDefault="00050CF5" w:rsidP="00050CF5">
      <w:pPr>
        <w:pStyle w:val="H23G"/>
        <w:rPr>
          <w:bCs/>
          <w:lang w:val="fr-FR"/>
        </w:rPr>
      </w:pPr>
      <w:r>
        <w:rPr>
          <w:lang w:val="fr-FR"/>
        </w:rPr>
        <w:tab/>
      </w:r>
      <w:r>
        <w:rPr>
          <w:lang w:val="fr-FR"/>
        </w:rPr>
        <w:tab/>
      </w:r>
      <w:r>
        <w:rPr>
          <w:bCs/>
          <w:lang w:val="fr-FR"/>
        </w:rPr>
        <w:t>Santé des adolescents</w:t>
      </w:r>
    </w:p>
    <w:p w14:paraId="629EB99E" w14:textId="4FA0FB97" w:rsidR="00050CF5" w:rsidRPr="00DC2178" w:rsidRDefault="00050CF5" w:rsidP="00050CF5">
      <w:pPr>
        <w:pStyle w:val="SingleTxtG"/>
        <w:rPr>
          <w:b/>
          <w:bCs/>
          <w:lang w:val="fr-FR"/>
        </w:rPr>
      </w:pPr>
      <w:r>
        <w:rPr>
          <w:lang w:val="fr-FR"/>
        </w:rPr>
        <w:t>39.</w:t>
      </w:r>
      <w:r>
        <w:rPr>
          <w:lang w:val="fr-FR"/>
        </w:rPr>
        <w:tab/>
      </w:r>
      <w:r>
        <w:rPr>
          <w:b/>
          <w:bCs/>
          <w:lang w:val="fr-FR"/>
        </w:rPr>
        <w:t xml:space="preserve">Renvoyant à ses observations générales </w:t>
      </w:r>
      <w:r w:rsidR="00717BCE" w:rsidRPr="00D46FD4">
        <w:rPr>
          <w:rFonts w:eastAsia="MS Mincho"/>
          <w:b/>
          <w:bCs/>
          <w:szCs w:val="22"/>
          <w:lang w:val="fr-FR"/>
        </w:rPr>
        <w:t>n</w:t>
      </w:r>
      <w:r w:rsidR="00717BCE" w:rsidRPr="00D46FD4">
        <w:rPr>
          <w:rFonts w:eastAsia="MS Mincho"/>
          <w:b/>
          <w:bCs/>
          <w:szCs w:val="22"/>
          <w:vertAlign w:val="superscript"/>
          <w:lang w:val="fr-FR"/>
        </w:rPr>
        <w:t>o</w:t>
      </w:r>
      <w:r w:rsidR="00717BCE">
        <w:rPr>
          <w:b/>
          <w:bCs/>
          <w:lang w:val="fr-FR"/>
        </w:rPr>
        <w:t> </w:t>
      </w:r>
      <w:r>
        <w:rPr>
          <w:b/>
          <w:bCs/>
          <w:lang w:val="fr-FR"/>
        </w:rPr>
        <w:t>4 (2003) sur la santé et le développement de l</w:t>
      </w:r>
      <w:r>
        <w:rPr>
          <w:b/>
          <w:bCs/>
          <w:lang w:val="fr-FR"/>
        </w:rPr>
        <w:t>’</w:t>
      </w:r>
      <w:r>
        <w:rPr>
          <w:b/>
          <w:bCs/>
          <w:lang w:val="fr-FR"/>
        </w:rPr>
        <w:t xml:space="preserve">adolescent dans le contexte de la Convention et </w:t>
      </w:r>
      <w:r w:rsidR="00717BCE" w:rsidRPr="00D46FD4">
        <w:rPr>
          <w:rFonts w:eastAsia="MS Mincho"/>
          <w:b/>
          <w:bCs/>
          <w:szCs w:val="22"/>
          <w:lang w:val="fr-FR"/>
        </w:rPr>
        <w:t>n</w:t>
      </w:r>
      <w:r w:rsidR="00717BCE" w:rsidRPr="00D46FD4">
        <w:rPr>
          <w:rFonts w:eastAsia="MS Mincho"/>
          <w:b/>
          <w:bCs/>
          <w:szCs w:val="22"/>
          <w:vertAlign w:val="superscript"/>
          <w:lang w:val="fr-FR"/>
        </w:rPr>
        <w:t>o</w:t>
      </w:r>
      <w:r w:rsidR="00717BCE">
        <w:rPr>
          <w:b/>
          <w:bCs/>
          <w:lang w:val="fr-FR"/>
        </w:rPr>
        <w:t> </w:t>
      </w:r>
      <w:r>
        <w:rPr>
          <w:b/>
          <w:bCs/>
          <w:lang w:val="fr-FR"/>
        </w:rPr>
        <w:t>20 (2016) sur la mise en œuvre des droits de l</w:t>
      </w:r>
      <w:r>
        <w:rPr>
          <w:b/>
          <w:bCs/>
          <w:lang w:val="fr-FR"/>
        </w:rPr>
        <w:t>’</w:t>
      </w:r>
      <w:r>
        <w:rPr>
          <w:b/>
          <w:bCs/>
          <w:lang w:val="fr-FR"/>
        </w:rPr>
        <w:t>enfant pendant l</w:t>
      </w:r>
      <w:r>
        <w:rPr>
          <w:b/>
          <w:bCs/>
          <w:lang w:val="fr-FR"/>
        </w:rPr>
        <w:t>’</w:t>
      </w:r>
      <w:r>
        <w:rPr>
          <w:b/>
          <w:bCs/>
          <w:lang w:val="fr-FR"/>
        </w:rPr>
        <w:t>adolescence, le Comité prend note de l</w:t>
      </w:r>
      <w:r>
        <w:rPr>
          <w:b/>
          <w:bCs/>
          <w:lang w:val="fr-FR"/>
        </w:rPr>
        <w:t>’</w:t>
      </w:r>
      <w:r>
        <w:rPr>
          <w:b/>
          <w:bCs/>
          <w:lang w:val="fr-FR"/>
        </w:rPr>
        <w:t>adoption de la Stratégie nationale de santé sexuelle 2017-2030 et recommande à l</w:t>
      </w:r>
      <w:r>
        <w:rPr>
          <w:b/>
          <w:bCs/>
          <w:lang w:val="fr-FR"/>
        </w:rPr>
        <w:t>’</w:t>
      </w:r>
      <w:r>
        <w:rPr>
          <w:b/>
          <w:bCs/>
          <w:lang w:val="fr-FR"/>
        </w:rPr>
        <w:t>État partie de renforcer l</w:t>
      </w:r>
      <w:r>
        <w:rPr>
          <w:b/>
          <w:bCs/>
          <w:lang w:val="fr-FR"/>
        </w:rPr>
        <w:t>’</w:t>
      </w:r>
      <w:r>
        <w:rPr>
          <w:b/>
          <w:bCs/>
          <w:lang w:val="fr-FR"/>
        </w:rPr>
        <w:t>application de cette Stratégie et de la loi du 4</w:t>
      </w:r>
      <w:r w:rsidR="00717BCE">
        <w:rPr>
          <w:b/>
          <w:bCs/>
          <w:lang w:val="fr-FR"/>
        </w:rPr>
        <w:t> </w:t>
      </w:r>
      <w:r>
        <w:rPr>
          <w:b/>
          <w:bCs/>
          <w:lang w:val="fr-FR"/>
        </w:rPr>
        <w:t>juillet 2001, qui prévoit une éducation à la santé et à la sexualité dans les écoles.</w:t>
      </w:r>
      <w:r>
        <w:rPr>
          <w:lang w:val="fr-FR"/>
        </w:rPr>
        <w:t xml:space="preserve"> </w:t>
      </w:r>
      <w:r>
        <w:rPr>
          <w:b/>
          <w:bCs/>
          <w:lang w:val="fr-FR"/>
        </w:rPr>
        <w:t>Il lui recommande également d</w:t>
      </w:r>
      <w:r>
        <w:rPr>
          <w:b/>
          <w:bCs/>
          <w:lang w:val="fr-FR"/>
        </w:rPr>
        <w:t>’</w:t>
      </w:r>
      <w:r>
        <w:rPr>
          <w:b/>
          <w:bCs/>
          <w:lang w:val="fr-FR"/>
        </w:rPr>
        <w:t>assurer régulièrement le suivi et l</w:t>
      </w:r>
      <w:r>
        <w:rPr>
          <w:b/>
          <w:bCs/>
          <w:lang w:val="fr-FR"/>
        </w:rPr>
        <w:t>’</w:t>
      </w:r>
      <w:r>
        <w:rPr>
          <w:b/>
          <w:bCs/>
          <w:lang w:val="fr-FR"/>
        </w:rPr>
        <w:t>évaluation de la fréquence et de la qualité de cet enseignement sur l</w:t>
      </w:r>
      <w:r>
        <w:rPr>
          <w:b/>
          <w:bCs/>
          <w:lang w:val="fr-FR"/>
        </w:rPr>
        <w:t>’</w:t>
      </w:r>
      <w:r>
        <w:rPr>
          <w:b/>
          <w:bCs/>
          <w:lang w:val="fr-FR"/>
        </w:rPr>
        <w:t>ensemble de son territoire.</w:t>
      </w:r>
    </w:p>
    <w:p w14:paraId="7E43C500" w14:textId="78431451" w:rsidR="00050CF5" w:rsidRPr="00DC2178" w:rsidRDefault="00050CF5" w:rsidP="00050CF5">
      <w:pPr>
        <w:pStyle w:val="H23G"/>
        <w:rPr>
          <w:rFonts w:eastAsia="Malgun Gothic"/>
          <w:bCs/>
          <w:lang w:val="fr-FR"/>
        </w:rPr>
      </w:pPr>
      <w:r>
        <w:rPr>
          <w:lang w:val="fr-FR"/>
        </w:rPr>
        <w:tab/>
      </w:r>
      <w:r>
        <w:rPr>
          <w:lang w:val="fr-FR"/>
        </w:rPr>
        <w:tab/>
      </w:r>
      <w:r>
        <w:rPr>
          <w:bCs/>
          <w:lang w:val="fr-FR"/>
        </w:rPr>
        <w:t>Incidences des changements climatiques sur les droits de l</w:t>
      </w:r>
      <w:r>
        <w:rPr>
          <w:bCs/>
          <w:lang w:val="fr-FR"/>
        </w:rPr>
        <w:t>’</w:t>
      </w:r>
      <w:r>
        <w:rPr>
          <w:bCs/>
          <w:lang w:val="fr-FR"/>
        </w:rPr>
        <w:t>enfant</w:t>
      </w:r>
    </w:p>
    <w:p w14:paraId="08E992B4" w14:textId="646AEA01" w:rsidR="00050CF5" w:rsidRPr="00DC2178" w:rsidRDefault="00050CF5" w:rsidP="00050CF5">
      <w:pPr>
        <w:pStyle w:val="SingleTxtG"/>
        <w:rPr>
          <w:b/>
          <w:bCs/>
          <w:lang w:val="fr-FR"/>
        </w:rPr>
      </w:pPr>
      <w:r>
        <w:rPr>
          <w:lang w:val="fr-FR"/>
        </w:rPr>
        <w:t>40.</w:t>
      </w:r>
      <w:r>
        <w:rPr>
          <w:lang w:val="fr-FR"/>
        </w:rPr>
        <w:tab/>
      </w:r>
      <w:r>
        <w:rPr>
          <w:b/>
          <w:bCs/>
          <w:lang w:val="fr-FR"/>
        </w:rPr>
        <w:t>Le Comité appelle l</w:t>
      </w:r>
      <w:r>
        <w:rPr>
          <w:b/>
          <w:bCs/>
          <w:lang w:val="fr-FR"/>
        </w:rPr>
        <w:t>’</w:t>
      </w:r>
      <w:r>
        <w:rPr>
          <w:b/>
          <w:bCs/>
          <w:lang w:val="fr-FR"/>
        </w:rPr>
        <w:t>attention de l</w:t>
      </w:r>
      <w:r>
        <w:rPr>
          <w:b/>
          <w:bCs/>
          <w:lang w:val="fr-FR"/>
        </w:rPr>
        <w:t>’</w:t>
      </w:r>
      <w:r>
        <w:rPr>
          <w:b/>
          <w:bCs/>
          <w:lang w:val="fr-FR"/>
        </w:rPr>
        <w:t>État partie sur la cible 13.3 des objectifs de développement durable et lui recommande d</w:t>
      </w:r>
      <w:r>
        <w:rPr>
          <w:b/>
          <w:bCs/>
          <w:lang w:val="fr-FR"/>
        </w:rPr>
        <w:t>’</w:t>
      </w:r>
      <w:r>
        <w:rPr>
          <w:b/>
          <w:bCs/>
          <w:lang w:val="fr-FR"/>
        </w:rPr>
        <w:t>adopter et d</w:t>
      </w:r>
      <w:r>
        <w:rPr>
          <w:b/>
          <w:bCs/>
          <w:lang w:val="fr-FR"/>
        </w:rPr>
        <w:t>’</w:t>
      </w:r>
      <w:r>
        <w:rPr>
          <w:b/>
          <w:bCs/>
          <w:lang w:val="fr-FR"/>
        </w:rPr>
        <w:t>appliquer des cibles plus ambitieuses en matière d</w:t>
      </w:r>
      <w:r>
        <w:rPr>
          <w:b/>
          <w:bCs/>
          <w:lang w:val="fr-FR"/>
        </w:rPr>
        <w:t>’</w:t>
      </w:r>
      <w:r>
        <w:rPr>
          <w:b/>
          <w:bCs/>
          <w:lang w:val="fr-FR"/>
        </w:rPr>
        <w:t>atténuation des incidences des changements climatiques, ainsi que de mieux sensibiliser et préparer les enfants aux changements climatiques et aux catastrophes naturelles en intégrant ces questions dans les programmes scolaires et les programmes de formation des enseignants, notamment dans les territoires d</w:t>
      </w:r>
      <w:r>
        <w:rPr>
          <w:b/>
          <w:bCs/>
          <w:lang w:val="fr-FR"/>
        </w:rPr>
        <w:t>’</w:t>
      </w:r>
      <w:r>
        <w:rPr>
          <w:b/>
          <w:bCs/>
          <w:lang w:val="fr-FR"/>
        </w:rPr>
        <w:t>outre-mer, qui sont particulièrement vulnérables aux conséquences des changements climatiques.</w:t>
      </w:r>
      <w:r>
        <w:rPr>
          <w:lang w:val="fr-FR"/>
        </w:rPr>
        <w:t xml:space="preserve"> </w:t>
      </w:r>
      <w:r>
        <w:rPr>
          <w:b/>
          <w:bCs/>
          <w:lang w:val="fr-FR"/>
        </w:rPr>
        <w:t>Il recommande également à l</w:t>
      </w:r>
      <w:r>
        <w:rPr>
          <w:b/>
          <w:bCs/>
          <w:lang w:val="fr-FR"/>
        </w:rPr>
        <w:t>’</w:t>
      </w:r>
      <w:r>
        <w:rPr>
          <w:b/>
          <w:bCs/>
          <w:lang w:val="fr-FR"/>
        </w:rPr>
        <w:t>État partie de tenir compte de l</w:t>
      </w:r>
      <w:r>
        <w:rPr>
          <w:b/>
          <w:bCs/>
          <w:lang w:val="fr-FR"/>
        </w:rPr>
        <w:t>’</w:t>
      </w:r>
      <w:r>
        <w:rPr>
          <w:b/>
          <w:bCs/>
          <w:lang w:val="fr-FR"/>
        </w:rPr>
        <w:t>opinion des enfants lorsqu</w:t>
      </w:r>
      <w:r>
        <w:rPr>
          <w:b/>
          <w:bCs/>
          <w:lang w:val="fr-FR"/>
        </w:rPr>
        <w:t>’</w:t>
      </w:r>
      <w:r>
        <w:rPr>
          <w:b/>
          <w:bCs/>
          <w:lang w:val="fr-FR"/>
        </w:rPr>
        <w:t>il élabore des politiques ou des programmes portant sur les questions relatives aux changements climatiques et à la gestion des risques de catastrophe.</w:t>
      </w:r>
    </w:p>
    <w:p w14:paraId="03ADC70E" w14:textId="77777777" w:rsidR="00050CF5" w:rsidRPr="00DC2178" w:rsidRDefault="00050CF5" w:rsidP="00050CF5">
      <w:pPr>
        <w:pStyle w:val="H23G"/>
        <w:rPr>
          <w:rFonts w:eastAsia="Malgun Gothic"/>
          <w:lang w:val="fr-FR"/>
        </w:rPr>
      </w:pPr>
      <w:r>
        <w:rPr>
          <w:lang w:val="fr-FR"/>
        </w:rPr>
        <w:tab/>
      </w:r>
      <w:r>
        <w:rPr>
          <w:lang w:val="fr-FR"/>
        </w:rPr>
        <w:tab/>
      </w:r>
      <w:r>
        <w:rPr>
          <w:bCs/>
          <w:lang w:val="fr-FR"/>
        </w:rPr>
        <w:t>Niveau de vie</w:t>
      </w:r>
    </w:p>
    <w:p w14:paraId="3CBA1863" w14:textId="0C185C47" w:rsidR="00050CF5" w:rsidRPr="00DC2178" w:rsidRDefault="00050CF5" w:rsidP="00050CF5">
      <w:pPr>
        <w:pStyle w:val="SingleTxtG"/>
        <w:rPr>
          <w:lang w:val="fr-FR"/>
        </w:rPr>
      </w:pPr>
      <w:r>
        <w:rPr>
          <w:lang w:val="fr-FR"/>
        </w:rPr>
        <w:t>41.</w:t>
      </w:r>
      <w:r>
        <w:rPr>
          <w:lang w:val="fr-FR"/>
        </w:rPr>
        <w:tab/>
        <w:t>Le Comité prend note de la Stratégie nationale de prévention et de lutte contre la pauvreté (2018-2022), mais regrette que l</w:t>
      </w:r>
      <w:r>
        <w:rPr>
          <w:lang w:val="fr-FR"/>
        </w:rPr>
        <w:t>’</w:t>
      </w:r>
      <w:r>
        <w:rPr>
          <w:lang w:val="fr-FR"/>
        </w:rPr>
        <w:t>État partie n</w:t>
      </w:r>
      <w:r>
        <w:rPr>
          <w:lang w:val="fr-FR"/>
        </w:rPr>
        <w:t>’</w:t>
      </w:r>
      <w:r>
        <w:rPr>
          <w:lang w:val="fr-FR"/>
        </w:rPr>
        <w:t>ait pas communiqué suffisamment d</w:t>
      </w:r>
      <w:r>
        <w:rPr>
          <w:lang w:val="fr-FR"/>
        </w:rPr>
        <w:t>’</w:t>
      </w:r>
      <w:r>
        <w:rPr>
          <w:lang w:val="fr-FR"/>
        </w:rPr>
        <w:t>informations au sujet de l</w:t>
      </w:r>
      <w:r>
        <w:rPr>
          <w:lang w:val="fr-FR"/>
        </w:rPr>
        <w:t>’</w:t>
      </w:r>
      <w:r>
        <w:rPr>
          <w:lang w:val="fr-FR"/>
        </w:rPr>
        <w:t>impact de cette stratégie sur la réduction de la pauvreté, en particulier chez les enfants. Il prend également note du Plan quinquennal pour le logement d</w:t>
      </w:r>
      <w:r>
        <w:rPr>
          <w:lang w:val="fr-FR"/>
        </w:rPr>
        <w:t>’</w:t>
      </w:r>
      <w:r>
        <w:rPr>
          <w:lang w:val="fr-FR"/>
        </w:rPr>
        <w:t>abord et la lutte contre le sans-abrisme (2018-2022), mais demeure préoccupé par :</w:t>
      </w:r>
    </w:p>
    <w:p w14:paraId="4A465F90" w14:textId="285133B0" w:rsidR="00050CF5" w:rsidRPr="00DC2178" w:rsidRDefault="00050CF5" w:rsidP="00050CF5">
      <w:pPr>
        <w:pStyle w:val="SingleTxtG"/>
        <w:ind w:firstLine="567"/>
        <w:rPr>
          <w:lang w:val="fr-FR"/>
        </w:rPr>
      </w:pPr>
      <w:r>
        <w:rPr>
          <w:lang w:val="fr-FR"/>
        </w:rPr>
        <w:t>a)</w:t>
      </w:r>
      <w:r>
        <w:rPr>
          <w:lang w:val="fr-FR"/>
        </w:rPr>
        <w:tab/>
        <w:t>La situation du nombre croissant d</w:t>
      </w:r>
      <w:r>
        <w:rPr>
          <w:lang w:val="fr-FR"/>
        </w:rPr>
        <w:t>’</w:t>
      </w:r>
      <w:r>
        <w:rPr>
          <w:lang w:val="fr-FR"/>
        </w:rPr>
        <w:t>enfants et de familles vivant dans la pauvreté, qui ont été les plus touchés par la pandémie de COVID-19, en particulier les enfants de familles monoparentales, les enfants vivant dans des bidonvilles et les enfants vivant dans des structures d</w:t>
      </w:r>
      <w:r>
        <w:rPr>
          <w:lang w:val="fr-FR"/>
        </w:rPr>
        <w:t>’</w:t>
      </w:r>
      <w:r>
        <w:rPr>
          <w:lang w:val="fr-FR"/>
        </w:rPr>
        <w:t>hébergement d</w:t>
      </w:r>
      <w:r>
        <w:rPr>
          <w:lang w:val="fr-FR"/>
        </w:rPr>
        <w:t>’</w:t>
      </w:r>
      <w:r>
        <w:rPr>
          <w:lang w:val="fr-FR"/>
        </w:rPr>
        <w:t>urgence pendant de longues périodes ;</w:t>
      </w:r>
    </w:p>
    <w:p w14:paraId="08CCE9BD" w14:textId="6D6E9BD5" w:rsidR="00050CF5" w:rsidRPr="00DC2178" w:rsidRDefault="00050CF5" w:rsidP="00050CF5">
      <w:pPr>
        <w:pStyle w:val="SingleTxtG"/>
        <w:ind w:firstLine="567"/>
        <w:rPr>
          <w:lang w:val="fr-FR"/>
        </w:rPr>
      </w:pPr>
      <w:r>
        <w:rPr>
          <w:lang w:val="fr-FR"/>
        </w:rPr>
        <w:t>b)</w:t>
      </w:r>
      <w:r>
        <w:rPr>
          <w:lang w:val="fr-FR"/>
        </w:rPr>
        <w:tab/>
        <w:t>Les écarts importants de niveau de vie entre la métropole et les territoires d</w:t>
      </w:r>
      <w:r>
        <w:rPr>
          <w:lang w:val="fr-FR"/>
        </w:rPr>
        <w:t>’</w:t>
      </w:r>
      <w:r>
        <w:rPr>
          <w:lang w:val="fr-FR"/>
        </w:rPr>
        <w:t>outre-mer, en particulier Mayotte ;</w:t>
      </w:r>
    </w:p>
    <w:p w14:paraId="382FA3A5" w14:textId="3213020E" w:rsidR="00050CF5" w:rsidRPr="00DC2178" w:rsidRDefault="00050CF5" w:rsidP="00050CF5">
      <w:pPr>
        <w:pStyle w:val="SingleTxtG"/>
        <w:ind w:firstLine="567"/>
        <w:rPr>
          <w:lang w:val="fr-FR"/>
        </w:rPr>
      </w:pPr>
      <w:r>
        <w:rPr>
          <w:lang w:val="fr-FR"/>
        </w:rPr>
        <w:t>c)</w:t>
      </w:r>
      <w:r>
        <w:rPr>
          <w:lang w:val="fr-FR"/>
        </w:rPr>
        <w:tab/>
        <w:t>L</w:t>
      </w:r>
      <w:r>
        <w:rPr>
          <w:lang w:val="fr-FR"/>
        </w:rPr>
        <w:t>’</w:t>
      </w:r>
      <w:r>
        <w:rPr>
          <w:lang w:val="fr-FR"/>
        </w:rPr>
        <w:t>accès limité à l</w:t>
      </w:r>
      <w:r>
        <w:rPr>
          <w:lang w:val="fr-FR"/>
        </w:rPr>
        <w:t>’</w:t>
      </w:r>
      <w:r>
        <w:rPr>
          <w:lang w:val="fr-FR"/>
        </w:rPr>
        <w:t>eau potable et la pollution de l</w:t>
      </w:r>
      <w:r>
        <w:rPr>
          <w:lang w:val="fr-FR"/>
        </w:rPr>
        <w:t>’</w:t>
      </w:r>
      <w:r>
        <w:rPr>
          <w:lang w:val="fr-FR"/>
        </w:rPr>
        <w:t>eau par le chlordécone dans certains territoires d</w:t>
      </w:r>
      <w:r>
        <w:rPr>
          <w:lang w:val="fr-FR"/>
        </w:rPr>
        <w:t>’</w:t>
      </w:r>
      <w:r>
        <w:rPr>
          <w:lang w:val="fr-FR"/>
        </w:rPr>
        <w:t>outre-mer, en particulier la Guadeloupe, qui contribuent à la situation d</w:t>
      </w:r>
      <w:r>
        <w:rPr>
          <w:lang w:val="fr-FR"/>
        </w:rPr>
        <w:t>’</w:t>
      </w:r>
      <w:r>
        <w:rPr>
          <w:lang w:val="fr-FR"/>
        </w:rPr>
        <w:t>urgence de santé publique ;</w:t>
      </w:r>
    </w:p>
    <w:p w14:paraId="16A5BC52" w14:textId="7C89AD71" w:rsidR="00050CF5" w:rsidRPr="00DC2178" w:rsidRDefault="00050CF5" w:rsidP="00050CF5">
      <w:pPr>
        <w:pStyle w:val="SingleTxtG"/>
        <w:ind w:firstLine="567"/>
        <w:rPr>
          <w:lang w:val="fr-FR"/>
        </w:rPr>
      </w:pPr>
      <w:r>
        <w:rPr>
          <w:lang w:val="fr-FR"/>
        </w:rPr>
        <w:t>d)</w:t>
      </w:r>
      <w:r>
        <w:rPr>
          <w:lang w:val="fr-FR"/>
        </w:rPr>
        <w:tab/>
        <w:t>L</w:t>
      </w:r>
      <w:r>
        <w:rPr>
          <w:lang w:val="fr-FR"/>
        </w:rPr>
        <w:t>’</w:t>
      </w:r>
      <w:r>
        <w:rPr>
          <w:lang w:val="fr-FR"/>
        </w:rPr>
        <w:t>aide limitée apportée aux familles qui vivent dans la pauvreté et ont des enfants atteints de maladies chroniques.</w:t>
      </w:r>
    </w:p>
    <w:p w14:paraId="6F366549" w14:textId="76F49453" w:rsidR="00050CF5" w:rsidRPr="00DC2178" w:rsidRDefault="00050CF5" w:rsidP="00050CF5">
      <w:pPr>
        <w:pStyle w:val="SingleTxtG"/>
        <w:rPr>
          <w:b/>
          <w:bCs/>
          <w:lang w:val="fr-FR"/>
        </w:rPr>
      </w:pPr>
      <w:r>
        <w:rPr>
          <w:lang w:val="fr-FR"/>
        </w:rPr>
        <w:lastRenderedPageBreak/>
        <w:t>42.</w:t>
      </w:r>
      <w:r>
        <w:rPr>
          <w:lang w:val="fr-FR"/>
        </w:rPr>
        <w:tab/>
      </w:r>
      <w:r>
        <w:rPr>
          <w:b/>
          <w:bCs/>
          <w:lang w:val="fr-FR"/>
        </w:rPr>
        <w:t>Le Comité appelle l</w:t>
      </w:r>
      <w:r>
        <w:rPr>
          <w:b/>
          <w:bCs/>
          <w:lang w:val="fr-FR"/>
        </w:rPr>
        <w:t>’</w:t>
      </w:r>
      <w:r>
        <w:rPr>
          <w:b/>
          <w:bCs/>
          <w:lang w:val="fr-FR"/>
        </w:rPr>
        <w:t>attention de l</w:t>
      </w:r>
      <w:r>
        <w:rPr>
          <w:b/>
          <w:bCs/>
          <w:lang w:val="fr-FR"/>
        </w:rPr>
        <w:t>’</w:t>
      </w:r>
      <w:r>
        <w:rPr>
          <w:b/>
          <w:bCs/>
          <w:lang w:val="fr-FR"/>
        </w:rPr>
        <w:t>État partie sur la cible 1.3 des objectifs de développement durable et lui recommande :</w:t>
      </w:r>
    </w:p>
    <w:p w14:paraId="14D89703" w14:textId="5670CB09" w:rsidR="00050CF5" w:rsidRPr="00717BCE" w:rsidRDefault="00050CF5" w:rsidP="00050CF5">
      <w:pPr>
        <w:pStyle w:val="SingleTxtG"/>
        <w:ind w:firstLine="567"/>
        <w:rPr>
          <w:b/>
          <w:bCs/>
          <w:lang w:val="fr-FR"/>
        </w:rPr>
      </w:pPr>
      <w:r w:rsidRPr="00717BCE">
        <w:rPr>
          <w:b/>
          <w:bCs/>
          <w:lang w:val="fr-FR"/>
        </w:rPr>
        <w:t>a)</w:t>
      </w:r>
      <w:r w:rsidRPr="00717BCE">
        <w:rPr>
          <w:b/>
          <w:bCs/>
          <w:lang w:val="fr-FR"/>
        </w:rPr>
        <w:tab/>
        <w:t>D</w:t>
      </w:r>
      <w:r w:rsidRPr="00717BCE">
        <w:rPr>
          <w:b/>
          <w:bCs/>
          <w:lang w:val="fr-FR"/>
        </w:rPr>
        <w:t>’</w:t>
      </w:r>
      <w:r w:rsidRPr="00717BCE">
        <w:rPr>
          <w:b/>
          <w:bCs/>
          <w:lang w:val="fr-FR"/>
        </w:rPr>
        <w:t>éradiquer la pauvreté touchant les enfants sur l</w:t>
      </w:r>
      <w:r w:rsidRPr="00717BCE">
        <w:rPr>
          <w:b/>
          <w:bCs/>
          <w:lang w:val="fr-FR"/>
        </w:rPr>
        <w:t>’</w:t>
      </w:r>
      <w:r w:rsidRPr="00717BCE">
        <w:rPr>
          <w:b/>
          <w:bCs/>
          <w:lang w:val="fr-FR"/>
        </w:rPr>
        <w:t>ensemble de son territoire et d</w:t>
      </w:r>
      <w:r w:rsidRPr="00717BCE">
        <w:rPr>
          <w:b/>
          <w:bCs/>
          <w:lang w:val="fr-FR"/>
        </w:rPr>
        <w:t>’</w:t>
      </w:r>
      <w:r w:rsidRPr="00717BCE">
        <w:rPr>
          <w:b/>
          <w:bCs/>
          <w:lang w:val="fr-FR"/>
        </w:rPr>
        <w:t>allouer les ressources humaines, techniques et financières nécessaires aux programmes visant à soutenir les enfants et les familles les plus démunis, en particulier les enfants et les familles touchés par la pandémie de COVID-19 qui vivent dans la pauvreté, les enfants de familles monoparentales, les enfants vivant dans des bidonvilles, les enfants vivant dans les territoires d</w:t>
      </w:r>
      <w:r w:rsidRPr="00717BCE">
        <w:rPr>
          <w:b/>
          <w:bCs/>
          <w:lang w:val="fr-FR"/>
        </w:rPr>
        <w:t>’</w:t>
      </w:r>
      <w:r w:rsidRPr="00717BCE">
        <w:rPr>
          <w:b/>
          <w:bCs/>
          <w:lang w:val="fr-FR"/>
        </w:rPr>
        <w:t>outre-mer et les enfants migrants non accompagnés ;</w:t>
      </w:r>
    </w:p>
    <w:p w14:paraId="5425FA5F" w14:textId="481F8605" w:rsidR="00050CF5" w:rsidRPr="00717BCE" w:rsidRDefault="00050CF5" w:rsidP="00050CF5">
      <w:pPr>
        <w:pStyle w:val="SingleTxtG"/>
        <w:ind w:firstLine="567"/>
        <w:rPr>
          <w:b/>
          <w:bCs/>
          <w:lang w:val="fr-FR"/>
        </w:rPr>
      </w:pPr>
      <w:r w:rsidRPr="00717BCE">
        <w:rPr>
          <w:b/>
          <w:bCs/>
          <w:lang w:val="fr-FR"/>
        </w:rPr>
        <w:t>b)</w:t>
      </w:r>
      <w:r w:rsidRPr="00717BCE">
        <w:rPr>
          <w:b/>
          <w:bCs/>
          <w:lang w:val="fr-FR"/>
        </w:rPr>
        <w:tab/>
        <w:t>D</w:t>
      </w:r>
      <w:r w:rsidRPr="00717BCE">
        <w:rPr>
          <w:b/>
          <w:bCs/>
          <w:lang w:val="fr-FR"/>
        </w:rPr>
        <w:t>’</w:t>
      </w:r>
      <w:r w:rsidRPr="00717BCE">
        <w:rPr>
          <w:b/>
          <w:bCs/>
          <w:lang w:val="fr-FR"/>
        </w:rPr>
        <w:t>accroître l</w:t>
      </w:r>
      <w:r w:rsidRPr="00717BCE">
        <w:rPr>
          <w:b/>
          <w:bCs/>
          <w:lang w:val="fr-FR"/>
        </w:rPr>
        <w:t>’</w:t>
      </w:r>
      <w:r w:rsidRPr="00717BCE">
        <w:rPr>
          <w:b/>
          <w:bCs/>
          <w:lang w:val="fr-FR"/>
        </w:rPr>
        <w:t>offre de logements sociaux pour les familles les plus précaires et de développer des structures de transition adaptées aux familles ayant des enfants ;</w:t>
      </w:r>
    </w:p>
    <w:p w14:paraId="5002F5C3" w14:textId="75645459" w:rsidR="00050CF5" w:rsidRPr="00717BCE" w:rsidRDefault="00050CF5" w:rsidP="00050CF5">
      <w:pPr>
        <w:pStyle w:val="SingleTxtG"/>
        <w:ind w:firstLine="567"/>
        <w:rPr>
          <w:b/>
          <w:bCs/>
          <w:lang w:val="fr-FR"/>
        </w:rPr>
      </w:pPr>
      <w:r w:rsidRPr="00717BCE">
        <w:rPr>
          <w:b/>
          <w:bCs/>
          <w:lang w:val="fr-FR"/>
        </w:rPr>
        <w:t>c)</w:t>
      </w:r>
      <w:r w:rsidRPr="00717BCE">
        <w:rPr>
          <w:b/>
          <w:bCs/>
          <w:lang w:val="fr-FR"/>
        </w:rPr>
        <w:tab/>
        <w:t>D</w:t>
      </w:r>
      <w:r w:rsidRPr="00717BCE">
        <w:rPr>
          <w:b/>
          <w:bCs/>
          <w:lang w:val="fr-FR"/>
        </w:rPr>
        <w:t>’</w:t>
      </w:r>
      <w:r w:rsidRPr="00717BCE">
        <w:rPr>
          <w:b/>
          <w:bCs/>
          <w:lang w:val="fr-FR"/>
        </w:rPr>
        <w:t>adopter un programme pluriannuel pour le logement et l</w:t>
      </w:r>
      <w:r w:rsidRPr="00717BCE">
        <w:rPr>
          <w:b/>
          <w:bCs/>
          <w:lang w:val="fr-FR"/>
        </w:rPr>
        <w:t>’</w:t>
      </w:r>
      <w:r w:rsidRPr="00717BCE">
        <w:rPr>
          <w:b/>
          <w:bCs/>
          <w:lang w:val="fr-FR"/>
        </w:rPr>
        <w:t>hébergement axé particulièrement sur les enfants et les familles ;</w:t>
      </w:r>
    </w:p>
    <w:p w14:paraId="1C9B1F38" w14:textId="2BDBD882" w:rsidR="00050CF5" w:rsidRPr="00717BCE" w:rsidRDefault="00050CF5" w:rsidP="00050CF5">
      <w:pPr>
        <w:pStyle w:val="SingleTxtG"/>
        <w:ind w:firstLine="567"/>
        <w:rPr>
          <w:b/>
          <w:bCs/>
          <w:lang w:val="fr-FR"/>
        </w:rPr>
      </w:pPr>
      <w:r w:rsidRPr="00717BCE">
        <w:rPr>
          <w:b/>
          <w:bCs/>
          <w:lang w:val="fr-FR"/>
        </w:rPr>
        <w:t>d)</w:t>
      </w:r>
      <w:r w:rsidRPr="00717BCE">
        <w:rPr>
          <w:b/>
          <w:bCs/>
          <w:lang w:val="fr-FR"/>
        </w:rPr>
        <w:tab/>
        <w:t>D</w:t>
      </w:r>
      <w:r w:rsidRPr="00717BCE">
        <w:rPr>
          <w:b/>
          <w:bCs/>
          <w:lang w:val="fr-FR"/>
        </w:rPr>
        <w:t>’</w:t>
      </w:r>
      <w:r w:rsidRPr="00717BCE">
        <w:rPr>
          <w:b/>
          <w:bCs/>
          <w:lang w:val="fr-FR"/>
        </w:rPr>
        <w:t>assurer aux enfants de métropole et des territoires d</w:t>
      </w:r>
      <w:r w:rsidRPr="00717BCE">
        <w:rPr>
          <w:b/>
          <w:bCs/>
          <w:lang w:val="fr-FR"/>
        </w:rPr>
        <w:t>’</w:t>
      </w:r>
      <w:r w:rsidRPr="00717BCE">
        <w:rPr>
          <w:b/>
          <w:bCs/>
          <w:lang w:val="fr-FR"/>
        </w:rPr>
        <w:t>outre-mer, notamment de Mayotte, un niveau de vie suffisant, d</w:t>
      </w:r>
      <w:r w:rsidRPr="00717BCE">
        <w:rPr>
          <w:b/>
          <w:bCs/>
          <w:lang w:val="fr-FR"/>
        </w:rPr>
        <w:t>’</w:t>
      </w:r>
      <w:r w:rsidRPr="00717BCE">
        <w:rPr>
          <w:b/>
          <w:bCs/>
          <w:lang w:val="fr-FR"/>
        </w:rPr>
        <w:t>approvisionner d</w:t>
      </w:r>
      <w:r w:rsidRPr="00717BCE">
        <w:rPr>
          <w:b/>
          <w:bCs/>
          <w:lang w:val="fr-FR"/>
        </w:rPr>
        <w:t>’</w:t>
      </w:r>
      <w:r w:rsidRPr="00717BCE">
        <w:rPr>
          <w:b/>
          <w:bCs/>
          <w:lang w:val="fr-FR"/>
        </w:rPr>
        <w:t>urgence la population guadeloupéenne en eau potable, dans l</w:t>
      </w:r>
      <w:r w:rsidRPr="00717BCE">
        <w:rPr>
          <w:b/>
          <w:bCs/>
          <w:lang w:val="fr-FR"/>
        </w:rPr>
        <w:t>’</w:t>
      </w:r>
      <w:r w:rsidRPr="00717BCE">
        <w:rPr>
          <w:b/>
          <w:bCs/>
          <w:lang w:val="fr-FR"/>
        </w:rPr>
        <w:t>attente de la réfection effective et complète des réseaux d</w:t>
      </w:r>
      <w:r w:rsidRPr="00717BCE">
        <w:rPr>
          <w:b/>
          <w:bCs/>
          <w:lang w:val="fr-FR"/>
        </w:rPr>
        <w:t>’</w:t>
      </w:r>
      <w:r w:rsidRPr="00717BCE">
        <w:rPr>
          <w:b/>
          <w:bCs/>
          <w:lang w:val="fr-FR"/>
        </w:rPr>
        <w:t>eau et d</w:t>
      </w:r>
      <w:r w:rsidRPr="00717BCE">
        <w:rPr>
          <w:b/>
          <w:bCs/>
          <w:lang w:val="fr-FR"/>
        </w:rPr>
        <w:t>’</w:t>
      </w:r>
      <w:r w:rsidRPr="00717BCE">
        <w:rPr>
          <w:b/>
          <w:bCs/>
          <w:lang w:val="fr-FR"/>
        </w:rPr>
        <w:t>assainissement, et d</w:t>
      </w:r>
      <w:r w:rsidRPr="00717BCE">
        <w:rPr>
          <w:b/>
          <w:bCs/>
          <w:lang w:val="fr-FR"/>
        </w:rPr>
        <w:t>’</w:t>
      </w:r>
      <w:r w:rsidRPr="00717BCE">
        <w:rPr>
          <w:b/>
          <w:bCs/>
          <w:lang w:val="fr-FR"/>
        </w:rPr>
        <w:t>accorder des mesures de réparation et d</w:t>
      </w:r>
      <w:r w:rsidRPr="00717BCE">
        <w:rPr>
          <w:b/>
          <w:bCs/>
          <w:lang w:val="fr-FR"/>
        </w:rPr>
        <w:t>’</w:t>
      </w:r>
      <w:r w:rsidRPr="00717BCE">
        <w:rPr>
          <w:b/>
          <w:bCs/>
          <w:lang w:val="fr-FR"/>
        </w:rPr>
        <w:t>indemnisation à tous les enfants qui ont subi un préjudice, en particulier les enfants concernés par la contamination au chlordécone ;</w:t>
      </w:r>
    </w:p>
    <w:p w14:paraId="060977F8" w14:textId="1019F871" w:rsidR="00050CF5" w:rsidRPr="00DC2178" w:rsidRDefault="00050CF5" w:rsidP="00050CF5">
      <w:pPr>
        <w:pStyle w:val="SingleTxtG"/>
        <w:ind w:firstLine="567"/>
        <w:rPr>
          <w:b/>
          <w:bCs/>
          <w:lang w:val="fr-FR"/>
        </w:rPr>
      </w:pPr>
      <w:r w:rsidRPr="00717BCE">
        <w:rPr>
          <w:b/>
          <w:bCs/>
          <w:lang w:val="fr-FR"/>
        </w:rPr>
        <w:t>e)</w:t>
      </w:r>
      <w:r w:rsidRPr="00717BCE">
        <w:rPr>
          <w:b/>
          <w:bCs/>
          <w:lang w:val="fr-FR"/>
        </w:rPr>
        <w:tab/>
        <w:t>D</w:t>
      </w:r>
      <w:r w:rsidRPr="00717BCE">
        <w:rPr>
          <w:b/>
          <w:bCs/>
          <w:lang w:val="fr-FR"/>
        </w:rPr>
        <w:t>’</w:t>
      </w:r>
      <w:r w:rsidRPr="00717BCE">
        <w:rPr>
          <w:b/>
          <w:bCs/>
          <w:lang w:val="fr-FR"/>
        </w:rPr>
        <w:t>apporter l</w:t>
      </w:r>
      <w:r w:rsidRPr="00717BCE">
        <w:rPr>
          <w:b/>
          <w:bCs/>
          <w:lang w:val="fr-FR"/>
        </w:rPr>
        <w:t>’</w:t>
      </w:r>
      <w:r w:rsidRPr="00717BCE">
        <w:rPr>
          <w:b/>
          <w:bCs/>
          <w:lang w:val="fr-FR"/>
        </w:rPr>
        <w:t>aide nécessaire aux familles ayant des enfants atteints de maladies chroniques</w:t>
      </w:r>
      <w:r>
        <w:rPr>
          <w:b/>
          <w:bCs/>
          <w:lang w:val="fr-FR"/>
        </w:rPr>
        <w:t>, notamment en garantissant des congés payés et une aide financière aux parents qui s</w:t>
      </w:r>
      <w:r>
        <w:rPr>
          <w:b/>
          <w:bCs/>
          <w:lang w:val="fr-FR"/>
        </w:rPr>
        <w:t>’</w:t>
      </w:r>
      <w:r>
        <w:rPr>
          <w:b/>
          <w:bCs/>
          <w:lang w:val="fr-FR"/>
        </w:rPr>
        <w:t>occupent de ces enfants.</w:t>
      </w:r>
    </w:p>
    <w:p w14:paraId="344C29A7" w14:textId="6DE0A532" w:rsidR="00050CF5" w:rsidRPr="00DC2178" w:rsidRDefault="00717BCE" w:rsidP="00050CF5">
      <w:pPr>
        <w:pStyle w:val="H1G"/>
        <w:rPr>
          <w:rFonts w:eastAsia="Malgun Gothic"/>
          <w:bCs/>
          <w:lang w:val="fr-FR"/>
        </w:rPr>
      </w:pPr>
      <w:r>
        <w:rPr>
          <w:bCs/>
          <w:lang w:val="fr-FR"/>
        </w:rPr>
        <w:tab/>
      </w:r>
      <w:r w:rsidR="00050CF5">
        <w:rPr>
          <w:bCs/>
          <w:lang w:val="fr-FR"/>
        </w:rPr>
        <w:t>H.</w:t>
      </w:r>
      <w:r w:rsidR="00050CF5">
        <w:rPr>
          <w:lang w:val="fr-FR"/>
        </w:rPr>
        <w:tab/>
      </w:r>
      <w:r w:rsidR="00050CF5">
        <w:rPr>
          <w:bCs/>
          <w:lang w:val="fr-FR"/>
        </w:rPr>
        <w:t>Éducation, loisirs et activités culturelles (art. 28 à 31)</w:t>
      </w:r>
    </w:p>
    <w:p w14:paraId="68E6CD39" w14:textId="3369BED8" w:rsidR="00050CF5" w:rsidRPr="00DC2178" w:rsidRDefault="00050CF5" w:rsidP="00050CF5">
      <w:pPr>
        <w:pStyle w:val="H23G"/>
        <w:rPr>
          <w:bCs/>
          <w:lang w:val="fr-FR"/>
        </w:rPr>
      </w:pPr>
      <w:r>
        <w:rPr>
          <w:lang w:val="fr-FR"/>
        </w:rPr>
        <w:tab/>
      </w:r>
      <w:r>
        <w:rPr>
          <w:lang w:val="fr-FR"/>
        </w:rPr>
        <w:tab/>
      </w:r>
      <w:r>
        <w:rPr>
          <w:bCs/>
          <w:lang w:val="fr-FR"/>
        </w:rPr>
        <w:t>Éducation, y compris la formation et l</w:t>
      </w:r>
      <w:r>
        <w:rPr>
          <w:bCs/>
          <w:lang w:val="fr-FR"/>
        </w:rPr>
        <w:t>’</w:t>
      </w:r>
      <w:r>
        <w:rPr>
          <w:bCs/>
          <w:lang w:val="fr-FR"/>
        </w:rPr>
        <w:t>orientation professionnelles</w:t>
      </w:r>
    </w:p>
    <w:p w14:paraId="795BF093" w14:textId="14DD8681" w:rsidR="00050CF5" w:rsidRPr="00DC2178" w:rsidRDefault="00050CF5" w:rsidP="00050CF5">
      <w:pPr>
        <w:pStyle w:val="SingleTxtG"/>
        <w:rPr>
          <w:b/>
          <w:bCs/>
          <w:lang w:val="fr-FR"/>
        </w:rPr>
      </w:pPr>
      <w:r>
        <w:rPr>
          <w:lang w:val="fr-FR"/>
        </w:rPr>
        <w:t>43.</w:t>
      </w:r>
      <w:r>
        <w:rPr>
          <w:lang w:val="fr-FR"/>
        </w:rPr>
        <w:tab/>
      </w:r>
      <w:r>
        <w:rPr>
          <w:b/>
          <w:bCs/>
          <w:lang w:val="fr-FR"/>
        </w:rPr>
        <w:t>Prenant note des mesures visant à faire baisser les taux d</w:t>
      </w:r>
      <w:r>
        <w:rPr>
          <w:b/>
          <w:bCs/>
          <w:lang w:val="fr-FR"/>
        </w:rPr>
        <w:t>’</w:t>
      </w:r>
      <w:r>
        <w:rPr>
          <w:b/>
          <w:bCs/>
          <w:lang w:val="fr-FR"/>
        </w:rPr>
        <w:t>abandon scolaire et à lutter contre le harcèlement à l</w:t>
      </w:r>
      <w:r>
        <w:rPr>
          <w:b/>
          <w:bCs/>
          <w:lang w:val="fr-FR"/>
        </w:rPr>
        <w:t>’</w:t>
      </w:r>
      <w:r>
        <w:rPr>
          <w:b/>
          <w:bCs/>
          <w:lang w:val="fr-FR"/>
        </w:rPr>
        <w:t>école et rappelant la cible 4.1 des objectifs de développement durable, le Comité recommande à l</w:t>
      </w:r>
      <w:r>
        <w:rPr>
          <w:b/>
          <w:bCs/>
          <w:lang w:val="fr-FR"/>
        </w:rPr>
        <w:t>’</w:t>
      </w:r>
      <w:r>
        <w:rPr>
          <w:b/>
          <w:bCs/>
          <w:lang w:val="fr-FR"/>
        </w:rPr>
        <w:t>État partie :</w:t>
      </w:r>
    </w:p>
    <w:p w14:paraId="572934AE" w14:textId="15868887" w:rsidR="00050CF5" w:rsidRPr="00717BCE" w:rsidRDefault="00050CF5" w:rsidP="00050CF5">
      <w:pPr>
        <w:pStyle w:val="SingleTxtG"/>
        <w:ind w:firstLine="567"/>
        <w:rPr>
          <w:b/>
          <w:bCs/>
          <w:lang w:val="fr-FR"/>
        </w:rPr>
      </w:pPr>
      <w:r w:rsidRPr="00717BCE">
        <w:rPr>
          <w:b/>
          <w:bCs/>
          <w:lang w:val="fr-FR"/>
        </w:rPr>
        <w:t>a)</w:t>
      </w:r>
      <w:r w:rsidRPr="00717BCE">
        <w:rPr>
          <w:b/>
          <w:bCs/>
          <w:lang w:val="fr-FR"/>
        </w:rPr>
        <w:tab/>
        <w:t>D</w:t>
      </w:r>
      <w:r w:rsidRPr="00717BCE">
        <w:rPr>
          <w:b/>
          <w:bCs/>
          <w:lang w:val="fr-FR"/>
        </w:rPr>
        <w:t>’</w:t>
      </w:r>
      <w:r w:rsidRPr="00717BCE">
        <w:rPr>
          <w:b/>
          <w:bCs/>
          <w:lang w:val="fr-FR"/>
        </w:rPr>
        <w:t>améliorer l</w:t>
      </w:r>
      <w:r w:rsidRPr="00717BCE">
        <w:rPr>
          <w:b/>
          <w:bCs/>
          <w:lang w:val="fr-FR"/>
        </w:rPr>
        <w:t>’</w:t>
      </w:r>
      <w:r w:rsidRPr="00717BCE">
        <w:rPr>
          <w:b/>
          <w:bCs/>
          <w:lang w:val="fr-FR"/>
        </w:rPr>
        <w:t>accessibilité et la qualité de l</w:t>
      </w:r>
      <w:r w:rsidRPr="00717BCE">
        <w:rPr>
          <w:b/>
          <w:bCs/>
          <w:lang w:val="fr-FR"/>
        </w:rPr>
        <w:t>’</w:t>
      </w:r>
      <w:r w:rsidRPr="00717BCE">
        <w:rPr>
          <w:b/>
          <w:bCs/>
          <w:lang w:val="fr-FR"/>
        </w:rPr>
        <w:t>éducation pour les enfants défavorisés ou marginalisés, notamment les enfants roms, les enfants migrants non accompagnés et les enfants vivant dans des logements précaires, qui rencontrent de nombreuses difficultés lorsqu</w:t>
      </w:r>
      <w:r w:rsidRPr="00717BCE">
        <w:rPr>
          <w:b/>
          <w:bCs/>
          <w:lang w:val="fr-FR"/>
        </w:rPr>
        <w:t>’</w:t>
      </w:r>
      <w:r w:rsidRPr="00717BCE">
        <w:rPr>
          <w:b/>
          <w:bCs/>
          <w:lang w:val="fr-FR"/>
        </w:rPr>
        <w:t>ils veulent s</w:t>
      </w:r>
      <w:r w:rsidRPr="00717BCE">
        <w:rPr>
          <w:b/>
          <w:bCs/>
          <w:lang w:val="fr-FR"/>
        </w:rPr>
        <w:t>’</w:t>
      </w:r>
      <w:r w:rsidRPr="00717BCE">
        <w:rPr>
          <w:b/>
          <w:bCs/>
          <w:lang w:val="fr-FR"/>
        </w:rPr>
        <w:t>inscrire dans des écoles ordinaires et accéder aux cantines scolaires ;</w:t>
      </w:r>
    </w:p>
    <w:p w14:paraId="62D6EC06" w14:textId="0BA4B049" w:rsidR="00050CF5" w:rsidRPr="00717BCE" w:rsidRDefault="00050CF5" w:rsidP="00050CF5">
      <w:pPr>
        <w:pStyle w:val="SingleTxtG"/>
        <w:ind w:firstLine="567"/>
        <w:rPr>
          <w:b/>
          <w:bCs/>
          <w:lang w:val="fr-FR"/>
        </w:rPr>
      </w:pPr>
      <w:r w:rsidRPr="00717BCE">
        <w:rPr>
          <w:b/>
          <w:bCs/>
          <w:lang w:val="fr-FR"/>
        </w:rPr>
        <w:t>b)</w:t>
      </w:r>
      <w:r w:rsidRPr="00717BCE">
        <w:rPr>
          <w:b/>
          <w:bCs/>
          <w:lang w:val="fr-FR"/>
        </w:rPr>
        <w:tab/>
        <w:t>De prendre les mesures nécessaires pour améliorer les taux de scolarisation et de fréquentation scolaire dans les territoires d</w:t>
      </w:r>
      <w:r w:rsidRPr="00717BCE">
        <w:rPr>
          <w:b/>
          <w:bCs/>
          <w:lang w:val="fr-FR"/>
        </w:rPr>
        <w:t>’</w:t>
      </w:r>
      <w:r w:rsidRPr="00717BCE">
        <w:rPr>
          <w:b/>
          <w:bCs/>
          <w:lang w:val="fr-FR"/>
        </w:rPr>
        <w:t>outre-mer, en particulier à Mayotte et en Guyane ;</w:t>
      </w:r>
    </w:p>
    <w:p w14:paraId="6A2982D6" w14:textId="35CF6258" w:rsidR="00050CF5" w:rsidRPr="00717BCE" w:rsidRDefault="00050CF5" w:rsidP="00050CF5">
      <w:pPr>
        <w:pStyle w:val="SingleTxtG"/>
        <w:ind w:firstLine="567"/>
        <w:rPr>
          <w:b/>
          <w:bCs/>
          <w:lang w:val="fr-FR"/>
        </w:rPr>
      </w:pPr>
      <w:r w:rsidRPr="00717BCE">
        <w:rPr>
          <w:b/>
          <w:bCs/>
          <w:lang w:val="fr-FR"/>
        </w:rPr>
        <w:t>c)</w:t>
      </w:r>
      <w:r w:rsidRPr="00717BCE">
        <w:rPr>
          <w:b/>
          <w:bCs/>
          <w:lang w:val="fr-FR"/>
        </w:rPr>
        <w:tab/>
        <w:t>De prévenir l</w:t>
      </w:r>
      <w:r w:rsidRPr="00717BCE">
        <w:rPr>
          <w:b/>
          <w:bCs/>
          <w:lang w:val="fr-FR"/>
        </w:rPr>
        <w:t>’</w:t>
      </w:r>
      <w:r w:rsidRPr="00717BCE">
        <w:rPr>
          <w:b/>
          <w:bCs/>
          <w:lang w:val="fr-FR"/>
        </w:rPr>
        <w:t>abandon scolaire et l</w:t>
      </w:r>
      <w:r w:rsidRPr="00717BCE">
        <w:rPr>
          <w:b/>
          <w:bCs/>
          <w:lang w:val="fr-FR"/>
        </w:rPr>
        <w:t>’</w:t>
      </w:r>
      <w:r w:rsidRPr="00717BCE">
        <w:rPr>
          <w:b/>
          <w:bCs/>
          <w:lang w:val="fr-FR"/>
        </w:rPr>
        <w:t>absentéisme des enfants de plus de 15</w:t>
      </w:r>
      <w:r w:rsidR="00717BCE">
        <w:rPr>
          <w:b/>
          <w:bCs/>
          <w:lang w:val="fr-FR"/>
        </w:rPr>
        <w:t> </w:t>
      </w:r>
      <w:r w:rsidRPr="00717BCE">
        <w:rPr>
          <w:b/>
          <w:bCs/>
          <w:lang w:val="fr-FR"/>
        </w:rPr>
        <w:t>ans, en particulier des enfants étrangers, en Guyane, notamment en proposant des cours adaptés aux besoins et aux aspirations des enfants des territoires isolés et en fournissant un hébergement adéquat aux enfants qui en ont besoin ;</w:t>
      </w:r>
    </w:p>
    <w:p w14:paraId="558D31B8" w14:textId="657E5D95" w:rsidR="00050CF5" w:rsidRPr="00717BCE" w:rsidRDefault="00050CF5" w:rsidP="00050CF5">
      <w:pPr>
        <w:pStyle w:val="SingleTxtG"/>
        <w:ind w:firstLine="567"/>
        <w:rPr>
          <w:b/>
          <w:bCs/>
          <w:lang w:val="fr-FR"/>
        </w:rPr>
      </w:pPr>
      <w:r w:rsidRPr="00717BCE">
        <w:rPr>
          <w:b/>
          <w:bCs/>
          <w:lang w:val="fr-FR"/>
        </w:rPr>
        <w:t>d)</w:t>
      </w:r>
      <w:r w:rsidRPr="00717BCE">
        <w:rPr>
          <w:b/>
          <w:bCs/>
          <w:lang w:val="fr-FR"/>
        </w:rPr>
        <w:tab/>
        <w:t>De réglementer le fonctionnement des écoles ad hoc et de contrôler la qualité et le contenu de l</w:t>
      </w:r>
      <w:r w:rsidRPr="00717BCE">
        <w:rPr>
          <w:b/>
          <w:bCs/>
          <w:lang w:val="fr-FR"/>
        </w:rPr>
        <w:t>’</w:t>
      </w:r>
      <w:r w:rsidRPr="00717BCE">
        <w:rPr>
          <w:b/>
          <w:bCs/>
          <w:lang w:val="fr-FR"/>
        </w:rPr>
        <w:t>enseignement qu</w:t>
      </w:r>
      <w:r w:rsidRPr="00717BCE">
        <w:rPr>
          <w:b/>
          <w:bCs/>
          <w:lang w:val="fr-FR"/>
        </w:rPr>
        <w:t>’</w:t>
      </w:r>
      <w:r w:rsidRPr="00717BCE">
        <w:rPr>
          <w:b/>
          <w:bCs/>
          <w:lang w:val="fr-FR"/>
        </w:rPr>
        <w:t>elles dispensent ;</w:t>
      </w:r>
    </w:p>
    <w:p w14:paraId="24B941DA" w14:textId="700DFA34" w:rsidR="00050CF5" w:rsidRPr="00DC2178" w:rsidRDefault="00050CF5" w:rsidP="00050CF5">
      <w:pPr>
        <w:pStyle w:val="SingleTxtG"/>
        <w:ind w:firstLine="567"/>
        <w:rPr>
          <w:b/>
          <w:bCs/>
          <w:lang w:val="fr-FR"/>
        </w:rPr>
      </w:pPr>
      <w:r w:rsidRPr="00717BCE">
        <w:rPr>
          <w:b/>
          <w:bCs/>
          <w:lang w:val="fr-FR"/>
        </w:rPr>
        <w:t>e)</w:t>
      </w:r>
      <w:r w:rsidRPr="00717BCE">
        <w:rPr>
          <w:b/>
          <w:bCs/>
          <w:lang w:val="fr-FR"/>
        </w:rPr>
        <w:tab/>
        <w:t>D</w:t>
      </w:r>
      <w:r w:rsidRPr="00717BCE">
        <w:rPr>
          <w:b/>
          <w:bCs/>
          <w:lang w:val="fr-FR"/>
        </w:rPr>
        <w:t>’</w:t>
      </w:r>
      <w:r w:rsidRPr="00717BCE">
        <w:rPr>
          <w:b/>
          <w:bCs/>
          <w:lang w:val="fr-FR"/>
        </w:rPr>
        <w:t>élaborer et de promouvoir une formation professionnelle de qualité pour améliorer les</w:t>
      </w:r>
      <w:r>
        <w:rPr>
          <w:b/>
          <w:bCs/>
          <w:lang w:val="fr-FR"/>
        </w:rPr>
        <w:t xml:space="preserve"> compétences des enfants et des jeunes, en particulier de ceux qui ont abandonné l</w:t>
      </w:r>
      <w:r>
        <w:rPr>
          <w:b/>
          <w:bCs/>
          <w:lang w:val="fr-FR"/>
        </w:rPr>
        <w:t>’</w:t>
      </w:r>
      <w:r>
        <w:rPr>
          <w:b/>
          <w:bCs/>
          <w:lang w:val="fr-FR"/>
        </w:rPr>
        <w:t>école ;</w:t>
      </w:r>
    </w:p>
    <w:p w14:paraId="72201226" w14:textId="5651E13F" w:rsidR="00050CF5" w:rsidRPr="00717BCE" w:rsidRDefault="00050CF5" w:rsidP="00050CF5">
      <w:pPr>
        <w:pStyle w:val="SingleTxtG"/>
        <w:ind w:firstLine="567"/>
        <w:rPr>
          <w:b/>
          <w:bCs/>
          <w:lang w:val="fr-FR"/>
        </w:rPr>
      </w:pPr>
      <w:r w:rsidRPr="00717BCE">
        <w:rPr>
          <w:b/>
          <w:bCs/>
          <w:lang w:val="fr-FR"/>
        </w:rPr>
        <w:t>f)</w:t>
      </w:r>
      <w:r w:rsidRPr="00717BCE">
        <w:rPr>
          <w:b/>
          <w:bCs/>
          <w:lang w:val="fr-FR"/>
        </w:rPr>
        <w:tab/>
        <w:t>De veiller à ce que l</w:t>
      </w:r>
      <w:r w:rsidRPr="00717BCE">
        <w:rPr>
          <w:b/>
          <w:bCs/>
          <w:lang w:val="fr-FR"/>
        </w:rPr>
        <w:t>’</w:t>
      </w:r>
      <w:r w:rsidRPr="00717BCE">
        <w:rPr>
          <w:b/>
          <w:bCs/>
          <w:lang w:val="fr-FR"/>
        </w:rPr>
        <w:t>administration scolaire et les professionnels qui travaillent dans les écoles ne communiquent pas les données personnelles des enfants et de leurs familles à des tiers ;</w:t>
      </w:r>
    </w:p>
    <w:p w14:paraId="5365205C" w14:textId="69F3E2A8" w:rsidR="00050CF5" w:rsidRPr="00DC2178" w:rsidRDefault="00050CF5" w:rsidP="00050CF5">
      <w:pPr>
        <w:pStyle w:val="SingleTxtG"/>
        <w:ind w:firstLine="567"/>
        <w:rPr>
          <w:b/>
          <w:bCs/>
          <w:lang w:val="fr-FR"/>
        </w:rPr>
      </w:pPr>
      <w:r w:rsidRPr="00717BCE">
        <w:rPr>
          <w:b/>
          <w:bCs/>
          <w:lang w:val="fr-FR"/>
        </w:rPr>
        <w:t>g)</w:t>
      </w:r>
      <w:r>
        <w:rPr>
          <w:lang w:val="fr-FR"/>
        </w:rPr>
        <w:tab/>
      </w:r>
      <w:r>
        <w:rPr>
          <w:b/>
          <w:bCs/>
          <w:lang w:val="fr-FR"/>
        </w:rPr>
        <w:t>De redoubler d</w:t>
      </w:r>
      <w:r>
        <w:rPr>
          <w:b/>
          <w:bCs/>
          <w:lang w:val="fr-FR"/>
        </w:rPr>
        <w:t>’</w:t>
      </w:r>
      <w:r>
        <w:rPr>
          <w:b/>
          <w:bCs/>
          <w:lang w:val="fr-FR"/>
        </w:rPr>
        <w:t>efforts pour former les professionnels de l</w:t>
      </w:r>
      <w:r>
        <w:rPr>
          <w:b/>
          <w:bCs/>
          <w:lang w:val="fr-FR"/>
        </w:rPr>
        <w:t>’</w:t>
      </w:r>
      <w:r>
        <w:rPr>
          <w:b/>
          <w:bCs/>
          <w:lang w:val="fr-FR"/>
        </w:rPr>
        <w:t xml:space="preserve">éducation à la détection du harcèlement scolaire et du harcèlement en ligne et au comportement </w:t>
      </w:r>
      <w:r>
        <w:rPr>
          <w:b/>
          <w:bCs/>
          <w:lang w:val="fr-FR"/>
        </w:rPr>
        <w:lastRenderedPageBreak/>
        <w:t>à</w:t>
      </w:r>
      <w:r w:rsidR="007D1A3F">
        <w:rPr>
          <w:b/>
          <w:bCs/>
          <w:lang w:val="fr-FR"/>
        </w:rPr>
        <w:t> </w:t>
      </w:r>
      <w:r>
        <w:rPr>
          <w:b/>
          <w:bCs/>
          <w:lang w:val="fr-FR"/>
        </w:rPr>
        <w:t>adopter en pareille situation, et de diffuser des outils pour promouvoir la prévention de tels actes.</w:t>
      </w:r>
    </w:p>
    <w:p w14:paraId="69973A44" w14:textId="471FD0A9" w:rsidR="00050CF5" w:rsidRPr="00DC2178" w:rsidRDefault="00717BCE" w:rsidP="00050CF5">
      <w:pPr>
        <w:pStyle w:val="H1G"/>
        <w:rPr>
          <w:lang w:val="fr-FR"/>
        </w:rPr>
      </w:pPr>
      <w:r>
        <w:rPr>
          <w:bCs/>
          <w:lang w:val="fr-FR"/>
        </w:rPr>
        <w:tab/>
      </w:r>
      <w:r w:rsidR="00050CF5">
        <w:rPr>
          <w:bCs/>
          <w:lang w:val="fr-FR"/>
        </w:rPr>
        <w:t>I.</w:t>
      </w:r>
      <w:r w:rsidR="00050CF5">
        <w:rPr>
          <w:lang w:val="fr-FR"/>
        </w:rPr>
        <w:tab/>
      </w:r>
      <w:r w:rsidR="00050CF5">
        <w:rPr>
          <w:bCs/>
          <w:lang w:val="fr-FR"/>
        </w:rPr>
        <w:t xml:space="preserve">Mesures de protection spéciales (art. 22, 30, 32, 33, 35, 36, </w:t>
      </w:r>
      <w:r>
        <w:rPr>
          <w:bCs/>
          <w:lang w:val="fr-FR"/>
        </w:rPr>
        <w:br/>
      </w:r>
      <w:r w:rsidR="00050CF5">
        <w:rPr>
          <w:bCs/>
          <w:lang w:val="fr-FR"/>
        </w:rPr>
        <w:t>37 (al. b) à d)) et 38 à 40)</w:t>
      </w:r>
    </w:p>
    <w:p w14:paraId="69A34287" w14:textId="3E7319C0" w:rsidR="00050CF5" w:rsidRPr="00DC2178" w:rsidRDefault="00050CF5" w:rsidP="00050CF5">
      <w:pPr>
        <w:pStyle w:val="H23G"/>
        <w:rPr>
          <w:lang w:val="fr-FR"/>
        </w:rPr>
      </w:pPr>
      <w:r>
        <w:rPr>
          <w:lang w:val="fr-FR"/>
        </w:rPr>
        <w:tab/>
      </w:r>
      <w:r>
        <w:rPr>
          <w:lang w:val="fr-FR"/>
        </w:rPr>
        <w:tab/>
      </w:r>
      <w:r>
        <w:rPr>
          <w:bCs/>
          <w:lang w:val="fr-FR"/>
        </w:rPr>
        <w:t>Enfants demandeurs d</w:t>
      </w:r>
      <w:r>
        <w:rPr>
          <w:bCs/>
          <w:lang w:val="fr-FR"/>
        </w:rPr>
        <w:t>’</w:t>
      </w:r>
      <w:r>
        <w:rPr>
          <w:bCs/>
          <w:lang w:val="fr-FR"/>
        </w:rPr>
        <w:t>asile ou migrants</w:t>
      </w:r>
    </w:p>
    <w:p w14:paraId="373C309A" w14:textId="4E606859" w:rsidR="00050CF5" w:rsidRPr="00DC2178" w:rsidRDefault="00050CF5" w:rsidP="00050CF5">
      <w:pPr>
        <w:pStyle w:val="SingleTxtG"/>
        <w:rPr>
          <w:lang w:val="fr-FR"/>
        </w:rPr>
      </w:pPr>
      <w:r>
        <w:rPr>
          <w:lang w:val="fr-FR"/>
        </w:rPr>
        <w:t>44.</w:t>
      </w:r>
      <w:r>
        <w:rPr>
          <w:lang w:val="fr-FR"/>
        </w:rPr>
        <w:tab/>
        <w:t>Le Comité regrette qu</w:t>
      </w:r>
      <w:r>
        <w:rPr>
          <w:lang w:val="fr-FR"/>
        </w:rPr>
        <w:t>’</w:t>
      </w:r>
      <w:r>
        <w:rPr>
          <w:lang w:val="fr-FR"/>
        </w:rPr>
        <w:t>en dépit de ses recommandations précédentes, la situation des enfants demandeurs d</w:t>
      </w:r>
      <w:r>
        <w:rPr>
          <w:lang w:val="fr-FR"/>
        </w:rPr>
        <w:t>’</w:t>
      </w:r>
      <w:r>
        <w:rPr>
          <w:lang w:val="fr-FR"/>
        </w:rPr>
        <w:t>asile ou migrants n</w:t>
      </w:r>
      <w:r>
        <w:rPr>
          <w:lang w:val="fr-FR"/>
        </w:rPr>
        <w:t>’</w:t>
      </w:r>
      <w:r>
        <w:rPr>
          <w:lang w:val="fr-FR"/>
        </w:rPr>
        <w:t>ait pas évolué. Il reste préoccupé par le fait que l</w:t>
      </w:r>
      <w:r>
        <w:rPr>
          <w:lang w:val="fr-FR"/>
        </w:rPr>
        <w:t>’</w:t>
      </w:r>
      <w:r>
        <w:rPr>
          <w:lang w:val="fr-FR"/>
        </w:rPr>
        <w:t>État partie ne prend pas suffisamment en considération l</w:t>
      </w:r>
      <w:r>
        <w:rPr>
          <w:lang w:val="fr-FR"/>
        </w:rPr>
        <w:t>’</w:t>
      </w:r>
      <w:r>
        <w:rPr>
          <w:lang w:val="fr-FR"/>
        </w:rPr>
        <w:t>intérêt supérieur de l</w:t>
      </w:r>
      <w:r>
        <w:rPr>
          <w:lang w:val="fr-FR"/>
        </w:rPr>
        <w:t>’</w:t>
      </w:r>
      <w:r>
        <w:rPr>
          <w:lang w:val="fr-FR"/>
        </w:rPr>
        <w:t>enfant, qui devrait être un principe directeur dans tous les processus d</w:t>
      </w:r>
      <w:r>
        <w:rPr>
          <w:lang w:val="fr-FR"/>
        </w:rPr>
        <w:t>’</w:t>
      </w:r>
      <w:r>
        <w:rPr>
          <w:lang w:val="fr-FR"/>
        </w:rPr>
        <w:t>évaluation initiale et les arrangements ultérieurs. Il est en particulier vivement préoccupé par :</w:t>
      </w:r>
    </w:p>
    <w:p w14:paraId="1B214B94" w14:textId="774790C7" w:rsidR="00050CF5" w:rsidRPr="00DC2178" w:rsidRDefault="00050CF5" w:rsidP="00050CF5">
      <w:pPr>
        <w:pStyle w:val="SingleTxtG"/>
        <w:ind w:firstLine="567"/>
        <w:rPr>
          <w:lang w:val="fr-FR"/>
        </w:rPr>
      </w:pPr>
      <w:r>
        <w:rPr>
          <w:lang w:val="fr-FR"/>
        </w:rPr>
        <w:t>a)</w:t>
      </w:r>
      <w:r>
        <w:rPr>
          <w:lang w:val="fr-FR"/>
        </w:rPr>
        <w:tab/>
        <w:t>Le fait que des familles avec enfants et des enfants non accompagnés continuent d</w:t>
      </w:r>
      <w:r>
        <w:rPr>
          <w:lang w:val="fr-FR"/>
        </w:rPr>
        <w:t>’</w:t>
      </w:r>
      <w:r>
        <w:rPr>
          <w:lang w:val="fr-FR"/>
        </w:rPr>
        <w:t>être placés en détention dans les zones d</w:t>
      </w:r>
      <w:r>
        <w:rPr>
          <w:lang w:val="fr-FR"/>
        </w:rPr>
        <w:t>’</w:t>
      </w:r>
      <w:r>
        <w:rPr>
          <w:lang w:val="fr-FR"/>
        </w:rPr>
        <w:t>attente des aéroports et dans d</w:t>
      </w:r>
      <w:r>
        <w:rPr>
          <w:lang w:val="fr-FR"/>
        </w:rPr>
        <w:t>’</w:t>
      </w:r>
      <w:r>
        <w:rPr>
          <w:lang w:val="fr-FR"/>
        </w:rPr>
        <w:t>autres centres de détention administrative, dans de mauvaises conditions, non adaptées aux enfants sans contrôle judiciaire ou administratif ;</w:t>
      </w:r>
    </w:p>
    <w:p w14:paraId="675D391E" w14:textId="7A80E17C" w:rsidR="00050CF5" w:rsidRPr="00DC2178" w:rsidRDefault="00050CF5" w:rsidP="00050CF5">
      <w:pPr>
        <w:pStyle w:val="SingleTxtG"/>
        <w:ind w:firstLine="567"/>
        <w:rPr>
          <w:lang w:val="fr-FR"/>
        </w:rPr>
      </w:pPr>
      <w:r>
        <w:rPr>
          <w:lang w:val="fr-FR"/>
        </w:rPr>
        <w:t>b)</w:t>
      </w:r>
      <w:r>
        <w:rPr>
          <w:lang w:val="fr-FR"/>
        </w:rPr>
        <w:tab/>
        <w:t>Les pratiques arbitraires de détermination de l</w:t>
      </w:r>
      <w:r>
        <w:rPr>
          <w:lang w:val="fr-FR"/>
        </w:rPr>
        <w:t>’</w:t>
      </w:r>
      <w:r>
        <w:rPr>
          <w:lang w:val="fr-FR"/>
        </w:rPr>
        <w:t>âge, notamment le fait que les examens osseux continuent d</w:t>
      </w:r>
      <w:r>
        <w:rPr>
          <w:lang w:val="fr-FR"/>
        </w:rPr>
        <w:t>’</w:t>
      </w:r>
      <w:r>
        <w:rPr>
          <w:lang w:val="fr-FR"/>
        </w:rPr>
        <w:t>être utilisés, bien qu</w:t>
      </w:r>
      <w:r>
        <w:rPr>
          <w:lang w:val="fr-FR"/>
        </w:rPr>
        <w:t>’</w:t>
      </w:r>
      <w:r>
        <w:rPr>
          <w:lang w:val="fr-FR"/>
        </w:rPr>
        <w:t>ils comportent une marge d</w:t>
      </w:r>
      <w:r>
        <w:rPr>
          <w:lang w:val="fr-FR"/>
        </w:rPr>
        <w:t>’</w:t>
      </w:r>
      <w:r>
        <w:rPr>
          <w:lang w:val="fr-FR"/>
        </w:rPr>
        <w:t>erreur importante, comme l</w:t>
      </w:r>
      <w:r>
        <w:rPr>
          <w:lang w:val="fr-FR"/>
        </w:rPr>
        <w:t>’</w:t>
      </w:r>
      <w:r>
        <w:rPr>
          <w:lang w:val="fr-FR"/>
        </w:rPr>
        <w:t>a confirmé le Conseil constitutionnel, et l</w:t>
      </w:r>
      <w:r>
        <w:rPr>
          <w:lang w:val="fr-FR"/>
        </w:rPr>
        <w:t>’</w:t>
      </w:r>
      <w:r>
        <w:rPr>
          <w:lang w:val="fr-FR"/>
        </w:rPr>
        <w:t>application arbitraire de la notion de « minorité manifeste ».</w:t>
      </w:r>
    </w:p>
    <w:p w14:paraId="7E651141" w14:textId="20CBDA73" w:rsidR="00050CF5" w:rsidRPr="00DC2178" w:rsidRDefault="00050CF5" w:rsidP="00050CF5">
      <w:pPr>
        <w:pStyle w:val="SingleTxtG"/>
        <w:ind w:firstLine="567"/>
        <w:rPr>
          <w:lang w:val="fr-FR"/>
        </w:rPr>
      </w:pPr>
      <w:r>
        <w:rPr>
          <w:lang w:val="fr-FR"/>
        </w:rPr>
        <w:t>c)</w:t>
      </w:r>
      <w:r>
        <w:rPr>
          <w:lang w:val="fr-FR"/>
        </w:rPr>
        <w:tab/>
        <w:t>L</w:t>
      </w:r>
      <w:r>
        <w:rPr>
          <w:lang w:val="fr-FR"/>
        </w:rPr>
        <w:t>’</w:t>
      </w:r>
      <w:r>
        <w:rPr>
          <w:lang w:val="fr-FR"/>
        </w:rPr>
        <w:t>accès insuffisant des enfants non accompagnés aux services de protection de l</w:t>
      </w:r>
      <w:r>
        <w:rPr>
          <w:lang w:val="fr-FR"/>
        </w:rPr>
        <w:t>’</w:t>
      </w:r>
      <w:r>
        <w:rPr>
          <w:lang w:val="fr-FR"/>
        </w:rPr>
        <w:t>enfance, à une représentation en justice, à un soutien psychologique, à une assistance sociale, aux soins de santé, à l</w:t>
      </w:r>
      <w:r>
        <w:rPr>
          <w:lang w:val="fr-FR"/>
        </w:rPr>
        <w:t>’</w:t>
      </w:r>
      <w:r>
        <w:rPr>
          <w:lang w:val="fr-FR"/>
        </w:rPr>
        <w:t>éducation et à un hébergement, en particulier dans les départements du Pas-de-Calais et du Nord ;</w:t>
      </w:r>
    </w:p>
    <w:p w14:paraId="0653F742" w14:textId="4FF16F70" w:rsidR="00050CF5" w:rsidRPr="00DC2178" w:rsidRDefault="00050CF5" w:rsidP="00050CF5">
      <w:pPr>
        <w:pStyle w:val="SingleTxtG"/>
        <w:ind w:firstLine="567"/>
        <w:rPr>
          <w:lang w:val="fr-FR"/>
        </w:rPr>
      </w:pPr>
      <w:r>
        <w:rPr>
          <w:lang w:val="fr-FR"/>
        </w:rPr>
        <w:t>d)</w:t>
      </w:r>
      <w:r>
        <w:rPr>
          <w:lang w:val="fr-FR"/>
        </w:rPr>
        <w:tab/>
        <w:t>Les informations selon lesquelles des enfants non accompagnés sont détenus avec des adultes et des enfants non accompagnés sont expulsés de l</w:t>
      </w:r>
      <w:r>
        <w:rPr>
          <w:lang w:val="fr-FR"/>
        </w:rPr>
        <w:t>’</w:t>
      </w:r>
      <w:r>
        <w:rPr>
          <w:lang w:val="fr-FR"/>
        </w:rPr>
        <w:t>État partie sur la base de décisions administratives.</w:t>
      </w:r>
    </w:p>
    <w:p w14:paraId="5E415034" w14:textId="646E2656" w:rsidR="00050CF5" w:rsidRPr="00DC2178" w:rsidRDefault="00050CF5" w:rsidP="00050CF5">
      <w:pPr>
        <w:pStyle w:val="SingleTxtG"/>
        <w:rPr>
          <w:b/>
          <w:bCs/>
          <w:lang w:val="fr-FR"/>
        </w:rPr>
      </w:pPr>
      <w:r>
        <w:rPr>
          <w:lang w:val="fr-FR"/>
        </w:rPr>
        <w:t>45.</w:t>
      </w:r>
      <w:r>
        <w:rPr>
          <w:lang w:val="fr-FR"/>
        </w:rPr>
        <w:tab/>
      </w:r>
      <w:r>
        <w:rPr>
          <w:b/>
          <w:bCs/>
          <w:lang w:val="fr-FR"/>
        </w:rPr>
        <w:t xml:space="preserve">Renvoyant à son observation générale </w:t>
      </w:r>
      <w:r w:rsidR="0065593E" w:rsidRPr="0065593E">
        <w:rPr>
          <w:rFonts w:eastAsia="MS Mincho"/>
          <w:b/>
          <w:bCs/>
          <w:szCs w:val="22"/>
          <w:lang w:val="fr-FR"/>
        </w:rPr>
        <w:t>n</w:t>
      </w:r>
      <w:r w:rsidR="0065593E" w:rsidRPr="0065593E">
        <w:rPr>
          <w:rFonts w:eastAsia="MS Mincho"/>
          <w:b/>
          <w:bCs/>
          <w:szCs w:val="22"/>
          <w:vertAlign w:val="superscript"/>
          <w:lang w:val="fr-FR"/>
        </w:rPr>
        <w:t>o</w:t>
      </w:r>
      <w:r w:rsidR="0065593E">
        <w:rPr>
          <w:b/>
          <w:bCs/>
          <w:lang w:val="fr-FR"/>
        </w:rPr>
        <w:t> </w:t>
      </w:r>
      <w:r>
        <w:rPr>
          <w:b/>
          <w:bCs/>
          <w:lang w:val="fr-FR"/>
        </w:rPr>
        <w:t>6 (2005) sur le traitement des enfants non accompagnés et des enfants séparés en dehors de leur pays d</w:t>
      </w:r>
      <w:r>
        <w:rPr>
          <w:b/>
          <w:bCs/>
          <w:lang w:val="fr-FR"/>
        </w:rPr>
        <w:t>’</w:t>
      </w:r>
      <w:r>
        <w:rPr>
          <w:b/>
          <w:bCs/>
          <w:lang w:val="fr-FR"/>
        </w:rPr>
        <w:t xml:space="preserve">origine et aux observations générales conjointes </w:t>
      </w:r>
      <w:r w:rsidR="00717BCE" w:rsidRPr="00717BCE">
        <w:rPr>
          <w:rFonts w:eastAsia="MS Mincho"/>
          <w:b/>
          <w:bCs/>
          <w:szCs w:val="22"/>
          <w:lang w:val="fr-FR"/>
        </w:rPr>
        <w:t>n</w:t>
      </w:r>
      <w:r w:rsidR="00717BCE" w:rsidRPr="00717BCE">
        <w:rPr>
          <w:rFonts w:eastAsia="MS Mincho"/>
          <w:b/>
          <w:bCs/>
          <w:szCs w:val="22"/>
          <w:vertAlign w:val="superscript"/>
          <w:lang w:val="fr-FR"/>
        </w:rPr>
        <w:t>o</w:t>
      </w:r>
      <w:r w:rsidR="00717BCE">
        <w:rPr>
          <w:rFonts w:eastAsia="MS Mincho"/>
          <w:b/>
          <w:bCs/>
          <w:szCs w:val="22"/>
          <w:vertAlign w:val="superscript"/>
          <w:lang w:val="fr-FR"/>
        </w:rPr>
        <w:t>s</w:t>
      </w:r>
      <w:r w:rsidR="00717BCE">
        <w:rPr>
          <w:b/>
          <w:bCs/>
          <w:lang w:val="fr-FR"/>
        </w:rPr>
        <w:t> </w:t>
      </w:r>
      <w:r>
        <w:rPr>
          <w:b/>
          <w:bCs/>
          <w:lang w:val="fr-FR"/>
        </w:rPr>
        <w:t xml:space="preserve">3 et 4 du Comité pour la protection des droits de tous les travailleurs migrants et des membres de leur famille et </w:t>
      </w:r>
      <w:r w:rsidR="00717BCE" w:rsidRPr="00717BCE">
        <w:rPr>
          <w:rFonts w:eastAsia="MS Mincho"/>
          <w:b/>
          <w:bCs/>
          <w:szCs w:val="22"/>
          <w:lang w:val="fr-FR"/>
        </w:rPr>
        <w:t>n</w:t>
      </w:r>
      <w:r w:rsidR="00717BCE" w:rsidRPr="00717BCE">
        <w:rPr>
          <w:rFonts w:eastAsia="MS Mincho"/>
          <w:b/>
          <w:bCs/>
          <w:szCs w:val="22"/>
          <w:vertAlign w:val="superscript"/>
          <w:lang w:val="fr-FR"/>
        </w:rPr>
        <w:t>o</w:t>
      </w:r>
      <w:r w:rsidR="00717BCE">
        <w:rPr>
          <w:rFonts w:eastAsia="MS Mincho"/>
          <w:b/>
          <w:bCs/>
          <w:szCs w:val="22"/>
          <w:vertAlign w:val="superscript"/>
          <w:lang w:val="fr-FR"/>
        </w:rPr>
        <w:t>s</w:t>
      </w:r>
      <w:r w:rsidR="00717BCE">
        <w:rPr>
          <w:b/>
          <w:bCs/>
          <w:lang w:val="fr-FR"/>
        </w:rPr>
        <w:t> </w:t>
      </w:r>
      <w:r>
        <w:rPr>
          <w:b/>
          <w:bCs/>
          <w:lang w:val="fr-FR"/>
        </w:rPr>
        <w:t>22 et 23 du Comité des droits de l</w:t>
      </w:r>
      <w:r>
        <w:rPr>
          <w:b/>
          <w:bCs/>
          <w:lang w:val="fr-FR"/>
        </w:rPr>
        <w:t>’</w:t>
      </w:r>
      <w:r>
        <w:rPr>
          <w:b/>
          <w:bCs/>
          <w:lang w:val="fr-FR"/>
        </w:rPr>
        <w:t>enfant (2017) sur les droits de l</w:t>
      </w:r>
      <w:r>
        <w:rPr>
          <w:b/>
          <w:bCs/>
          <w:lang w:val="fr-FR"/>
        </w:rPr>
        <w:t>’</w:t>
      </w:r>
      <w:r>
        <w:rPr>
          <w:b/>
          <w:bCs/>
          <w:lang w:val="fr-FR"/>
        </w:rPr>
        <w:t>homme des enfants dans le contexte des migrations internationales, le Comité demande instamment à l</w:t>
      </w:r>
      <w:r>
        <w:rPr>
          <w:b/>
          <w:bCs/>
          <w:lang w:val="fr-FR"/>
        </w:rPr>
        <w:t>’</w:t>
      </w:r>
      <w:r>
        <w:rPr>
          <w:b/>
          <w:bCs/>
          <w:lang w:val="fr-FR"/>
        </w:rPr>
        <w:t>État partie de prendre immédiatement les mesures suivantes :</w:t>
      </w:r>
    </w:p>
    <w:p w14:paraId="0AAEC1B2" w14:textId="73379EF2" w:rsidR="00050CF5" w:rsidRPr="00717BCE" w:rsidRDefault="00050CF5" w:rsidP="00050CF5">
      <w:pPr>
        <w:pStyle w:val="SingleTxtG"/>
        <w:ind w:firstLine="567"/>
        <w:rPr>
          <w:b/>
          <w:bCs/>
          <w:lang w:val="fr-FR"/>
        </w:rPr>
      </w:pPr>
      <w:r w:rsidRPr="00717BCE">
        <w:rPr>
          <w:b/>
          <w:bCs/>
          <w:lang w:val="fr-FR"/>
        </w:rPr>
        <w:t>a)</w:t>
      </w:r>
      <w:r w:rsidRPr="00717BCE">
        <w:rPr>
          <w:b/>
          <w:bCs/>
          <w:lang w:val="fr-FR"/>
        </w:rPr>
        <w:tab/>
        <w:t>Mettre un terme au placement d</w:t>
      </w:r>
      <w:r w:rsidRPr="00717BCE">
        <w:rPr>
          <w:b/>
          <w:bCs/>
          <w:lang w:val="fr-FR"/>
        </w:rPr>
        <w:t>’</w:t>
      </w:r>
      <w:r w:rsidRPr="00717BCE">
        <w:rPr>
          <w:b/>
          <w:bCs/>
          <w:lang w:val="fr-FR"/>
        </w:rPr>
        <w:t>enfants en détention pour des motifs liés à l</w:t>
      </w:r>
      <w:r w:rsidRPr="00717BCE">
        <w:rPr>
          <w:b/>
          <w:bCs/>
          <w:lang w:val="fr-FR"/>
        </w:rPr>
        <w:t>’</w:t>
      </w:r>
      <w:r w:rsidRPr="00717BCE">
        <w:rPr>
          <w:b/>
          <w:bCs/>
          <w:lang w:val="fr-FR"/>
        </w:rPr>
        <w:t>immigration, notamment dans les zones d</w:t>
      </w:r>
      <w:r w:rsidRPr="00717BCE">
        <w:rPr>
          <w:b/>
          <w:bCs/>
          <w:lang w:val="fr-FR"/>
        </w:rPr>
        <w:t>’</w:t>
      </w:r>
      <w:r w:rsidRPr="00717BCE">
        <w:rPr>
          <w:b/>
          <w:bCs/>
          <w:lang w:val="fr-FR"/>
        </w:rPr>
        <w:t>attente des aéroports, en vue d</w:t>
      </w:r>
      <w:r w:rsidRPr="00717BCE">
        <w:rPr>
          <w:b/>
          <w:bCs/>
          <w:lang w:val="fr-FR"/>
        </w:rPr>
        <w:t>’</w:t>
      </w:r>
      <w:r w:rsidRPr="00717BCE">
        <w:rPr>
          <w:b/>
          <w:bCs/>
          <w:lang w:val="fr-FR"/>
        </w:rPr>
        <w:t>abolir cette pratique. L</w:t>
      </w:r>
      <w:r w:rsidRPr="00717BCE">
        <w:rPr>
          <w:b/>
          <w:bCs/>
          <w:lang w:val="fr-FR"/>
        </w:rPr>
        <w:t>’</w:t>
      </w:r>
      <w:r w:rsidRPr="00717BCE">
        <w:rPr>
          <w:b/>
          <w:bCs/>
          <w:lang w:val="fr-FR"/>
        </w:rPr>
        <w:t>obligation de ne pas priver un enfant de liberté s</w:t>
      </w:r>
      <w:r w:rsidRPr="00717BCE">
        <w:rPr>
          <w:b/>
          <w:bCs/>
          <w:lang w:val="fr-FR"/>
        </w:rPr>
        <w:t>’</w:t>
      </w:r>
      <w:r w:rsidRPr="00717BCE">
        <w:rPr>
          <w:b/>
          <w:bCs/>
          <w:lang w:val="fr-FR"/>
        </w:rPr>
        <w:t>étend aux parents de l</w:t>
      </w:r>
      <w:r w:rsidRPr="00717BCE">
        <w:rPr>
          <w:b/>
          <w:bCs/>
          <w:lang w:val="fr-FR"/>
        </w:rPr>
        <w:t>’</w:t>
      </w:r>
      <w:r w:rsidRPr="00717BCE">
        <w:rPr>
          <w:b/>
          <w:bCs/>
          <w:lang w:val="fr-FR"/>
        </w:rPr>
        <w:t>enfant et impose aux autorités de privilégier des solutions non privatives de liberté pour toute la famille ;</w:t>
      </w:r>
    </w:p>
    <w:p w14:paraId="6D49853B" w14:textId="2AD9CF5C" w:rsidR="00050CF5" w:rsidRPr="00717BCE" w:rsidRDefault="00050CF5" w:rsidP="00050CF5">
      <w:pPr>
        <w:pStyle w:val="SingleTxtG"/>
        <w:ind w:firstLine="567"/>
        <w:rPr>
          <w:b/>
          <w:bCs/>
          <w:lang w:val="fr-FR"/>
        </w:rPr>
      </w:pPr>
      <w:r w:rsidRPr="00717BCE">
        <w:rPr>
          <w:b/>
          <w:bCs/>
          <w:lang w:val="fr-FR"/>
        </w:rPr>
        <w:t>b)</w:t>
      </w:r>
      <w:r w:rsidRPr="00717BCE">
        <w:rPr>
          <w:b/>
          <w:bCs/>
          <w:lang w:val="fr-FR"/>
        </w:rPr>
        <w:tab/>
        <w:t>Faire en sorte que toutes les mesures de substitution à la détention d</w:t>
      </w:r>
      <w:r w:rsidRPr="00717BCE">
        <w:rPr>
          <w:b/>
          <w:bCs/>
          <w:lang w:val="fr-FR"/>
        </w:rPr>
        <w:t>’</w:t>
      </w:r>
      <w:r w:rsidRPr="00717BCE">
        <w:rPr>
          <w:b/>
          <w:bCs/>
          <w:lang w:val="fr-FR"/>
        </w:rPr>
        <w:t>enfants fassent l</w:t>
      </w:r>
      <w:r w:rsidRPr="00717BCE">
        <w:rPr>
          <w:b/>
          <w:bCs/>
          <w:lang w:val="fr-FR"/>
        </w:rPr>
        <w:t>’</w:t>
      </w:r>
      <w:r w:rsidRPr="00717BCE">
        <w:rPr>
          <w:b/>
          <w:bCs/>
          <w:lang w:val="fr-FR"/>
        </w:rPr>
        <w:t>objet de garanties strictes et d</w:t>
      </w:r>
      <w:r w:rsidRPr="00717BCE">
        <w:rPr>
          <w:b/>
          <w:bCs/>
          <w:lang w:val="fr-FR"/>
        </w:rPr>
        <w:t>’</w:t>
      </w:r>
      <w:r w:rsidRPr="00717BCE">
        <w:rPr>
          <w:b/>
          <w:bCs/>
          <w:lang w:val="fr-FR"/>
        </w:rPr>
        <w:t>un contrôle externe et indépendant efficace ;</w:t>
      </w:r>
    </w:p>
    <w:p w14:paraId="388911C9" w14:textId="416BFD5B" w:rsidR="00050CF5" w:rsidRPr="00DC2178" w:rsidRDefault="00050CF5" w:rsidP="00050CF5">
      <w:pPr>
        <w:pStyle w:val="SingleTxtG"/>
        <w:ind w:firstLine="567"/>
        <w:rPr>
          <w:b/>
          <w:bCs/>
          <w:lang w:val="fr-FR"/>
        </w:rPr>
      </w:pPr>
      <w:r w:rsidRPr="00717BCE">
        <w:rPr>
          <w:b/>
          <w:bCs/>
          <w:lang w:val="fr-FR"/>
        </w:rPr>
        <w:t>c)</w:t>
      </w:r>
      <w:r w:rsidRPr="00717BCE">
        <w:rPr>
          <w:b/>
          <w:bCs/>
          <w:lang w:val="fr-FR"/>
        </w:rPr>
        <w:tab/>
        <w:t>Faire en sorte que la procédure de détermination de l</w:t>
      </w:r>
      <w:r w:rsidRPr="00717BCE">
        <w:rPr>
          <w:b/>
          <w:bCs/>
          <w:lang w:val="fr-FR"/>
        </w:rPr>
        <w:t>’</w:t>
      </w:r>
      <w:r w:rsidRPr="00717BCE">
        <w:rPr>
          <w:b/>
          <w:bCs/>
          <w:lang w:val="fr-FR"/>
        </w:rPr>
        <w:t>âge soit conforme au principe de présomption de minorité et donner à la personne concernée la possibilité de contester</w:t>
      </w:r>
      <w:r>
        <w:rPr>
          <w:b/>
          <w:bCs/>
          <w:lang w:val="fr-FR"/>
        </w:rPr>
        <w:t xml:space="preserve"> le résultat de la détermination de l</w:t>
      </w:r>
      <w:r>
        <w:rPr>
          <w:b/>
          <w:bCs/>
          <w:lang w:val="fr-FR"/>
        </w:rPr>
        <w:t>’</w:t>
      </w:r>
      <w:r>
        <w:rPr>
          <w:b/>
          <w:bCs/>
          <w:lang w:val="fr-FR"/>
        </w:rPr>
        <w:t>âge dans le cadre d</w:t>
      </w:r>
      <w:r>
        <w:rPr>
          <w:b/>
          <w:bCs/>
          <w:lang w:val="fr-FR"/>
        </w:rPr>
        <w:t>’</w:t>
      </w:r>
      <w:r>
        <w:rPr>
          <w:b/>
          <w:bCs/>
          <w:lang w:val="fr-FR"/>
        </w:rPr>
        <w:t>une procédure judiciaire.</w:t>
      </w:r>
      <w:r>
        <w:rPr>
          <w:lang w:val="fr-FR"/>
        </w:rPr>
        <w:t xml:space="preserve"> </w:t>
      </w:r>
      <w:r>
        <w:rPr>
          <w:b/>
          <w:bCs/>
          <w:lang w:val="fr-FR"/>
        </w:rPr>
        <w:t>Pendant la durée de la procédure, la personne concernée doit se voir accorder le bénéfice du doute, être traitée comme un enfant et être maintenue dans le système de protection de l</w:t>
      </w:r>
      <w:r>
        <w:rPr>
          <w:b/>
          <w:bCs/>
          <w:lang w:val="fr-FR"/>
        </w:rPr>
        <w:t>’</w:t>
      </w:r>
      <w:r>
        <w:rPr>
          <w:b/>
          <w:bCs/>
          <w:lang w:val="fr-FR"/>
        </w:rPr>
        <w:t>enfance ;</w:t>
      </w:r>
    </w:p>
    <w:p w14:paraId="7D7C0E7A" w14:textId="28C9A4A2" w:rsidR="00050CF5" w:rsidRPr="00717BCE" w:rsidRDefault="00050CF5" w:rsidP="00050CF5">
      <w:pPr>
        <w:pStyle w:val="SingleTxtG"/>
        <w:ind w:firstLine="567"/>
        <w:rPr>
          <w:b/>
          <w:bCs/>
          <w:lang w:val="fr-FR"/>
        </w:rPr>
      </w:pPr>
      <w:r w:rsidRPr="00717BCE">
        <w:rPr>
          <w:b/>
          <w:bCs/>
          <w:lang w:val="fr-FR"/>
        </w:rPr>
        <w:t>d)</w:t>
      </w:r>
      <w:r w:rsidRPr="00717BCE">
        <w:rPr>
          <w:b/>
          <w:bCs/>
          <w:lang w:val="fr-FR"/>
        </w:rPr>
        <w:tab/>
        <w:t>Mettre fin à l</w:t>
      </w:r>
      <w:r w:rsidRPr="00717BCE">
        <w:rPr>
          <w:b/>
          <w:bCs/>
          <w:lang w:val="fr-FR"/>
        </w:rPr>
        <w:t>’</w:t>
      </w:r>
      <w:r w:rsidRPr="00717BCE">
        <w:rPr>
          <w:b/>
          <w:bCs/>
          <w:lang w:val="fr-FR"/>
        </w:rPr>
        <w:t>utilisation des tests osseux comme méthode de détermination de l</w:t>
      </w:r>
      <w:r w:rsidRPr="00717BCE">
        <w:rPr>
          <w:b/>
          <w:bCs/>
          <w:lang w:val="fr-FR"/>
        </w:rPr>
        <w:t>’</w:t>
      </w:r>
      <w:r w:rsidRPr="00717BCE">
        <w:rPr>
          <w:b/>
          <w:bCs/>
          <w:lang w:val="fr-FR"/>
        </w:rPr>
        <w:t>âge des enfants au profit d</w:t>
      </w:r>
      <w:r w:rsidRPr="00717BCE">
        <w:rPr>
          <w:b/>
          <w:bCs/>
          <w:lang w:val="fr-FR"/>
        </w:rPr>
        <w:t>’</w:t>
      </w:r>
      <w:r w:rsidRPr="00717BCE">
        <w:rPr>
          <w:b/>
          <w:bCs/>
          <w:lang w:val="fr-FR"/>
        </w:rPr>
        <w:t>autres méthodes qui s</w:t>
      </w:r>
      <w:r w:rsidRPr="00717BCE">
        <w:rPr>
          <w:b/>
          <w:bCs/>
          <w:lang w:val="fr-FR"/>
        </w:rPr>
        <w:t>’</w:t>
      </w:r>
      <w:r w:rsidRPr="00717BCE">
        <w:rPr>
          <w:b/>
          <w:bCs/>
          <w:lang w:val="fr-FR"/>
        </w:rPr>
        <w:t>avèrent plus précises, notamment la reconnaissance et la reconstitution des documents d</w:t>
      </w:r>
      <w:r w:rsidRPr="00717BCE">
        <w:rPr>
          <w:b/>
          <w:bCs/>
          <w:lang w:val="fr-FR"/>
        </w:rPr>
        <w:t>’</w:t>
      </w:r>
      <w:r w:rsidRPr="00717BCE">
        <w:rPr>
          <w:b/>
          <w:bCs/>
          <w:lang w:val="fr-FR"/>
        </w:rPr>
        <w:t>état civil ;</w:t>
      </w:r>
    </w:p>
    <w:p w14:paraId="1B4462F2" w14:textId="0B457C63" w:rsidR="00050CF5" w:rsidRPr="00717BCE" w:rsidRDefault="00050CF5" w:rsidP="00050CF5">
      <w:pPr>
        <w:pStyle w:val="SingleTxtG"/>
        <w:ind w:firstLine="567"/>
        <w:rPr>
          <w:b/>
          <w:bCs/>
          <w:lang w:val="fr-FR"/>
        </w:rPr>
      </w:pPr>
      <w:r w:rsidRPr="00717BCE">
        <w:rPr>
          <w:b/>
          <w:bCs/>
          <w:lang w:val="fr-FR"/>
        </w:rPr>
        <w:t>e)</w:t>
      </w:r>
      <w:r w:rsidRPr="00717BCE">
        <w:rPr>
          <w:b/>
          <w:bCs/>
          <w:lang w:val="fr-FR"/>
        </w:rPr>
        <w:tab/>
        <w:t xml:space="preserve">Renforcer les actions de sensibilisation, en particulier dans les départements du Pas-de-Calais et du Nord, fournir des informations et des conseils aux </w:t>
      </w:r>
      <w:r w:rsidRPr="00717BCE">
        <w:rPr>
          <w:b/>
          <w:bCs/>
          <w:lang w:val="fr-FR"/>
        </w:rPr>
        <w:lastRenderedPageBreak/>
        <w:t>enfants non accompagnés, fournir des solutions d</w:t>
      </w:r>
      <w:r w:rsidRPr="00717BCE">
        <w:rPr>
          <w:b/>
          <w:bCs/>
          <w:lang w:val="fr-FR"/>
        </w:rPr>
        <w:t>’</w:t>
      </w:r>
      <w:r w:rsidRPr="00717BCE">
        <w:rPr>
          <w:b/>
          <w:bCs/>
          <w:lang w:val="fr-FR"/>
        </w:rPr>
        <w:t>hébergement et adapter les services de protection de l</w:t>
      </w:r>
      <w:r w:rsidRPr="00717BCE">
        <w:rPr>
          <w:b/>
          <w:bCs/>
          <w:lang w:val="fr-FR"/>
        </w:rPr>
        <w:t>’</w:t>
      </w:r>
      <w:r w:rsidRPr="00717BCE">
        <w:rPr>
          <w:b/>
          <w:bCs/>
          <w:lang w:val="fr-FR"/>
        </w:rPr>
        <w:t>enfance aux besoins spécifiques de la région ;</w:t>
      </w:r>
    </w:p>
    <w:p w14:paraId="2994A4DF" w14:textId="7A270B97" w:rsidR="00050CF5" w:rsidRPr="00717BCE" w:rsidRDefault="00050CF5" w:rsidP="00050CF5">
      <w:pPr>
        <w:pStyle w:val="SingleTxtG"/>
        <w:ind w:firstLine="567"/>
        <w:rPr>
          <w:b/>
          <w:bCs/>
          <w:lang w:val="fr-FR"/>
        </w:rPr>
      </w:pPr>
      <w:r w:rsidRPr="00717BCE">
        <w:rPr>
          <w:b/>
          <w:bCs/>
          <w:lang w:val="fr-FR"/>
        </w:rPr>
        <w:t>f)</w:t>
      </w:r>
      <w:r w:rsidRPr="00717BCE">
        <w:rPr>
          <w:b/>
          <w:bCs/>
          <w:lang w:val="fr-FR"/>
        </w:rPr>
        <w:tab/>
        <w:t>Allouer, sur l</w:t>
      </w:r>
      <w:r w:rsidRPr="00717BCE">
        <w:rPr>
          <w:b/>
          <w:bCs/>
          <w:lang w:val="fr-FR"/>
        </w:rPr>
        <w:t>’</w:t>
      </w:r>
      <w:r w:rsidRPr="00717BCE">
        <w:rPr>
          <w:b/>
          <w:bCs/>
          <w:lang w:val="fr-FR"/>
        </w:rPr>
        <w:t>ensemble de son territoire, des ressources humaines, techniques et financières suffisantes à la prestation d</w:t>
      </w:r>
      <w:r w:rsidRPr="00717BCE">
        <w:rPr>
          <w:b/>
          <w:bCs/>
          <w:lang w:val="fr-FR"/>
        </w:rPr>
        <w:t>’</w:t>
      </w:r>
      <w:r w:rsidRPr="00717BCE">
        <w:rPr>
          <w:b/>
          <w:bCs/>
          <w:lang w:val="fr-FR"/>
        </w:rPr>
        <w:t>un appui spécialisé adapté aux enfants, à des services de protection, de représentation en justice et d</w:t>
      </w:r>
      <w:r w:rsidRPr="00717BCE">
        <w:rPr>
          <w:b/>
          <w:bCs/>
          <w:lang w:val="fr-FR"/>
        </w:rPr>
        <w:t>’</w:t>
      </w:r>
      <w:r w:rsidRPr="00717BCE">
        <w:rPr>
          <w:b/>
          <w:bCs/>
          <w:lang w:val="fr-FR"/>
        </w:rPr>
        <w:t>assistance sociale et à l</w:t>
      </w:r>
      <w:r w:rsidRPr="00717BCE">
        <w:rPr>
          <w:b/>
          <w:bCs/>
          <w:lang w:val="fr-FR"/>
        </w:rPr>
        <w:t>’</w:t>
      </w:r>
      <w:r w:rsidRPr="00717BCE">
        <w:rPr>
          <w:b/>
          <w:bCs/>
          <w:lang w:val="fr-FR"/>
        </w:rPr>
        <w:t>éducation et la formation professionnelle pour les enfants migrants non accompagnés, et renforcer les capacités des forces de l</w:t>
      </w:r>
      <w:r w:rsidRPr="00717BCE">
        <w:rPr>
          <w:b/>
          <w:bCs/>
          <w:lang w:val="fr-FR"/>
        </w:rPr>
        <w:t>’</w:t>
      </w:r>
      <w:r w:rsidRPr="00717BCE">
        <w:rPr>
          <w:b/>
          <w:bCs/>
          <w:lang w:val="fr-FR"/>
        </w:rPr>
        <w:t>ordre à cet égard ;</w:t>
      </w:r>
    </w:p>
    <w:p w14:paraId="4685D960" w14:textId="49886968" w:rsidR="00050CF5" w:rsidRPr="00DC2178" w:rsidRDefault="00050CF5" w:rsidP="00050CF5">
      <w:pPr>
        <w:pStyle w:val="SingleTxtG"/>
        <w:ind w:firstLine="567"/>
        <w:rPr>
          <w:b/>
          <w:bCs/>
          <w:lang w:val="fr-FR"/>
        </w:rPr>
      </w:pPr>
      <w:r w:rsidRPr="00717BCE">
        <w:rPr>
          <w:b/>
          <w:bCs/>
          <w:lang w:val="fr-FR"/>
        </w:rPr>
        <w:t>g)</w:t>
      </w:r>
      <w:r w:rsidRPr="00717BCE">
        <w:rPr>
          <w:b/>
          <w:bCs/>
          <w:lang w:val="fr-FR"/>
        </w:rPr>
        <w:tab/>
        <w:t>Faire en sorte que l</w:t>
      </w:r>
      <w:r w:rsidRPr="00717BCE">
        <w:rPr>
          <w:b/>
          <w:bCs/>
          <w:lang w:val="fr-FR"/>
        </w:rPr>
        <w:t>’</w:t>
      </w:r>
      <w:r w:rsidRPr="00717BCE">
        <w:rPr>
          <w:b/>
          <w:bCs/>
          <w:lang w:val="fr-FR"/>
        </w:rPr>
        <w:t>intérêt supérieur de l</w:t>
      </w:r>
      <w:r w:rsidRPr="00717BCE">
        <w:rPr>
          <w:b/>
          <w:bCs/>
          <w:lang w:val="fr-FR"/>
        </w:rPr>
        <w:t>’</w:t>
      </w:r>
      <w:r w:rsidRPr="00717BCE">
        <w:rPr>
          <w:b/>
          <w:bCs/>
          <w:lang w:val="fr-FR"/>
        </w:rPr>
        <w:t>enfant soit une considération primordiale</w:t>
      </w:r>
      <w:r>
        <w:rPr>
          <w:b/>
          <w:bCs/>
          <w:lang w:val="fr-FR"/>
        </w:rPr>
        <w:t xml:space="preserve"> dans tous les accords et décisions concernant des enfants demandeurs d</w:t>
      </w:r>
      <w:r>
        <w:rPr>
          <w:b/>
          <w:bCs/>
          <w:lang w:val="fr-FR"/>
        </w:rPr>
        <w:t>’</w:t>
      </w:r>
      <w:r>
        <w:rPr>
          <w:b/>
          <w:bCs/>
          <w:lang w:val="fr-FR"/>
        </w:rPr>
        <w:t>asile ou migrants.</w:t>
      </w:r>
    </w:p>
    <w:p w14:paraId="17F113F7" w14:textId="77777777" w:rsidR="00050CF5" w:rsidRPr="00DC2178" w:rsidRDefault="00050CF5" w:rsidP="00050CF5">
      <w:pPr>
        <w:pStyle w:val="H23G"/>
        <w:rPr>
          <w:bCs/>
          <w:lang w:val="fr-FR"/>
        </w:rPr>
      </w:pPr>
      <w:r>
        <w:rPr>
          <w:lang w:val="fr-FR"/>
        </w:rPr>
        <w:tab/>
      </w:r>
      <w:r>
        <w:rPr>
          <w:lang w:val="fr-FR"/>
        </w:rPr>
        <w:tab/>
      </w:r>
      <w:r>
        <w:rPr>
          <w:bCs/>
          <w:lang w:val="fr-FR"/>
        </w:rPr>
        <w:t>Enfants dans les conflits armés</w:t>
      </w:r>
    </w:p>
    <w:p w14:paraId="1697A746" w14:textId="78DC6BBD" w:rsidR="00050CF5" w:rsidRPr="00DC2178" w:rsidRDefault="00050CF5" w:rsidP="00050CF5">
      <w:pPr>
        <w:pStyle w:val="SingleTxtG"/>
        <w:rPr>
          <w:b/>
          <w:bCs/>
          <w:lang w:val="fr-FR"/>
        </w:rPr>
      </w:pPr>
      <w:r>
        <w:rPr>
          <w:lang w:val="fr-FR"/>
        </w:rPr>
        <w:t>46.</w:t>
      </w:r>
      <w:r>
        <w:rPr>
          <w:lang w:val="fr-FR"/>
        </w:rPr>
        <w:tab/>
      </w:r>
      <w:r>
        <w:rPr>
          <w:b/>
          <w:bCs/>
          <w:lang w:val="fr-FR"/>
        </w:rPr>
        <w:t>Le Comité prend note avec satisfaction du rapatriement d</w:t>
      </w:r>
      <w:r>
        <w:rPr>
          <w:b/>
          <w:bCs/>
          <w:lang w:val="fr-FR"/>
        </w:rPr>
        <w:t>’</w:t>
      </w:r>
      <w:r>
        <w:rPr>
          <w:b/>
          <w:bCs/>
          <w:lang w:val="fr-FR"/>
        </w:rPr>
        <w:t>un nombre important d</w:t>
      </w:r>
      <w:r>
        <w:rPr>
          <w:b/>
          <w:bCs/>
          <w:lang w:val="fr-FR"/>
        </w:rPr>
        <w:t>’</w:t>
      </w:r>
      <w:r>
        <w:rPr>
          <w:b/>
          <w:bCs/>
          <w:lang w:val="fr-FR"/>
        </w:rPr>
        <w:t>enfants depuis les camps de la République arabe syrienne et recommande à l</w:t>
      </w:r>
      <w:r>
        <w:rPr>
          <w:b/>
          <w:bCs/>
          <w:lang w:val="fr-FR"/>
        </w:rPr>
        <w:t>’</w:t>
      </w:r>
      <w:r>
        <w:rPr>
          <w:b/>
          <w:bCs/>
          <w:lang w:val="fr-FR"/>
        </w:rPr>
        <w:t>État partie de redoubler d</w:t>
      </w:r>
      <w:r>
        <w:rPr>
          <w:b/>
          <w:bCs/>
          <w:lang w:val="fr-FR"/>
        </w:rPr>
        <w:t>’</w:t>
      </w:r>
      <w:r>
        <w:rPr>
          <w:b/>
          <w:bCs/>
          <w:lang w:val="fr-FR"/>
        </w:rPr>
        <w:t>efforts pour rapatrier dès que possible les enfants français qui se trouvent encore dans des camps et des lieux de détention en République arabe syrienne, et de continuer à offrir aux enfants rapatriés des services de réadaptation et de réintégration adaptés.</w:t>
      </w:r>
    </w:p>
    <w:p w14:paraId="52F8F947" w14:textId="77777777" w:rsidR="00050CF5" w:rsidRPr="00DC2178" w:rsidRDefault="00050CF5" w:rsidP="00050CF5">
      <w:pPr>
        <w:pStyle w:val="H23G"/>
        <w:rPr>
          <w:bCs/>
          <w:lang w:val="fr-FR"/>
        </w:rPr>
      </w:pPr>
      <w:r>
        <w:rPr>
          <w:lang w:val="fr-FR"/>
        </w:rPr>
        <w:tab/>
      </w:r>
      <w:r>
        <w:rPr>
          <w:lang w:val="fr-FR"/>
        </w:rPr>
        <w:tab/>
      </w:r>
      <w:r>
        <w:rPr>
          <w:bCs/>
          <w:lang w:val="fr-FR"/>
        </w:rPr>
        <w:t>Administration de la justice pour enfants</w:t>
      </w:r>
    </w:p>
    <w:p w14:paraId="347FF242" w14:textId="50934B52" w:rsidR="00050CF5" w:rsidRPr="00DC2178" w:rsidRDefault="00050CF5" w:rsidP="00050CF5">
      <w:pPr>
        <w:pStyle w:val="SingleTxtG"/>
        <w:rPr>
          <w:b/>
          <w:bCs/>
          <w:lang w:val="fr-FR"/>
        </w:rPr>
      </w:pPr>
      <w:r>
        <w:rPr>
          <w:lang w:val="fr-FR"/>
        </w:rPr>
        <w:t>47.</w:t>
      </w:r>
      <w:r>
        <w:rPr>
          <w:lang w:val="fr-FR"/>
        </w:rPr>
        <w:tab/>
      </w:r>
      <w:r>
        <w:rPr>
          <w:b/>
          <w:bCs/>
          <w:lang w:val="fr-FR"/>
        </w:rPr>
        <w:t>Prenant note de l</w:t>
      </w:r>
      <w:r>
        <w:rPr>
          <w:b/>
          <w:bCs/>
          <w:lang w:val="fr-FR"/>
        </w:rPr>
        <w:t>’</w:t>
      </w:r>
      <w:r>
        <w:rPr>
          <w:b/>
          <w:bCs/>
          <w:lang w:val="fr-FR"/>
        </w:rPr>
        <w:t xml:space="preserve">adoption du nouveau Code de la justice pénale des mineurs en 2021 et renvoyant à son observation générale </w:t>
      </w:r>
      <w:r w:rsidR="00717BCE" w:rsidRPr="00717BCE">
        <w:rPr>
          <w:rFonts w:eastAsia="MS Mincho"/>
          <w:b/>
          <w:bCs/>
          <w:szCs w:val="22"/>
          <w:lang w:val="fr-FR"/>
        </w:rPr>
        <w:t>n</w:t>
      </w:r>
      <w:r w:rsidR="00717BCE" w:rsidRPr="00717BCE">
        <w:rPr>
          <w:rFonts w:eastAsia="MS Mincho"/>
          <w:b/>
          <w:bCs/>
          <w:szCs w:val="22"/>
          <w:vertAlign w:val="superscript"/>
          <w:lang w:val="fr-FR"/>
        </w:rPr>
        <w:t>o</w:t>
      </w:r>
      <w:r w:rsidR="00717BCE">
        <w:rPr>
          <w:b/>
          <w:bCs/>
          <w:lang w:val="fr-FR"/>
        </w:rPr>
        <w:t> </w:t>
      </w:r>
      <w:r>
        <w:rPr>
          <w:b/>
          <w:bCs/>
          <w:lang w:val="fr-FR"/>
        </w:rPr>
        <w:t>24 (2019) sur les droits de l</w:t>
      </w:r>
      <w:r>
        <w:rPr>
          <w:b/>
          <w:bCs/>
          <w:lang w:val="fr-FR"/>
        </w:rPr>
        <w:t>’</w:t>
      </w:r>
      <w:r>
        <w:rPr>
          <w:b/>
          <w:bCs/>
          <w:lang w:val="fr-FR"/>
        </w:rPr>
        <w:t>enfant dans le système de justice pour enfants, le Comité demande instamment à l</w:t>
      </w:r>
      <w:r>
        <w:rPr>
          <w:b/>
          <w:bCs/>
          <w:lang w:val="fr-FR"/>
        </w:rPr>
        <w:t>’</w:t>
      </w:r>
      <w:r>
        <w:rPr>
          <w:b/>
          <w:bCs/>
          <w:lang w:val="fr-FR"/>
        </w:rPr>
        <w:t>État partie de mettre son système de justice pour enfants en pleine conformité avec la Convention et les autres normes applicables.</w:t>
      </w:r>
      <w:r>
        <w:rPr>
          <w:lang w:val="fr-FR"/>
        </w:rPr>
        <w:t xml:space="preserve"> </w:t>
      </w:r>
      <w:r>
        <w:rPr>
          <w:b/>
          <w:bCs/>
          <w:lang w:val="fr-FR"/>
        </w:rPr>
        <w:t>En particulier, il lui demande instamment</w:t>
      </w:r>
      <w:r w:rsidR="00E948BA">
        <w:rPr>
          <w:b/>
          <w:bCs/>
          <w:lang w:val="fr-FR"/>
        </w:rPr>
        <w:t> </w:t>
      </w:r>
      <w:r>
        <w:rPr>
          <w:b/>
          <w:bCs/>
          <w:lang w:val="fr-FR"/>
        </w:rPr>
        <w:t>:</w:t>
      </w:r>
    </w:p>
    <w:p w14:paraId="2B7DA32C" w14:textId="7DCC9F83" w:rsidR="00050CF5" w:rsidRPr="00717BCE" w:rsidRDefault="00050CF5" w:rsidP="00050CF5">
      <w:pPr>
        <w:pStyle w:val="SingleTxtG"/>
        <w:ind w:firstLine="567"/>
        <w:rPr>
          <w:b/>
          <w:bCs/>
          <w:lang w:val="fr-FR"/>
        </w:rPr>
      </w:pPr>
      <w:r w:rsidRPr="00717BCE">
        <w:rPr>
          <w:b/>
          <w:bCs/>
          <w:lang w:val="fr-FR"/>
        </w:rPr>
        <w:t>a)</w:t>
      </w:r>
      <w:r w:rsidRPr="00717BCE">
        <w:rPr>
          <w:b/>
          <w:bCs/>
          <w:lang w:val="fr-FR"/>
        </w:rPr>
        <w:tab/>
        <w:t>De porter l</w:t>
      </w:r>
      <w:r w:rsidRPr="00717BCE">
        <w:rPr>
          <w:b/>
          <w:bCs/>
          <w:lang w:val="fr-FR"/>
        </w:rPr>
        <w:t>’</w:t>
      </w:r>
      <w:r w:rsidRPr="00717BCE">
        <w:rPr>
          <w:b/>
          <w:bCs/>
          <w:lang w:val="fr-FR"/>
        </w:rPr>
        <w:t>âge minimum de la responsabilité pénale à 14</w:t>
      </w:r>
      <w:r w:rsidR="00717BCE" w:rsidRPr="00717BCE">
        <w:rPr>
          <w:b/>
          <w:bCs/>
          <w:lang w:val="fr-FR"/>
        </w:rPr>
        <w:t> </w:t>
      </w:r>
      <w:r w:rsidRPr="00717BCE">
        <w:rPr>
          <w:b/>
          <w:bCs/>
          <w:lang w:val="fr-FR"/>
        </w:rPr>
        <w:t>ans au moins et de veiller à ce qu</w:t>
      </w:r>
      <w:r w:rsidRPr="00717BCE">
        <w:rPr>
          <w:b/>
          <w:bCs/>
          <w:lang w:val="fr-FR"/>
        </w:rPr>
        <w:t>’</w:t>
      </w:r>
      <w:r w:rsidRPr="00717BCE">
        <w:rPr>
          <w:b/>
          <w:bCs/>
          <w:lang w:val="fr-FR"/>
        </w:rPr>
        <w:t>aucun enfant en deçà de cet âge ne puisse être tenu pénalement responsable, conformément à l</w:t>
      </w:r>
      <w:r w:rsidRPr="00717BCE">
        <w:rPr>
          <w:b/>
          <w:bCs/>
          <w:lang w:val="fr-FR"/>
        </w:rPr>
        <w:t>’</w:t>
      </w:r>
      <w:r w:rsidRPr="00717BCE">
        <w:rPr>
          <w:b/>
          <w:bCs/>
          <w:lang w:val="fr-FR"/>
        </w:rPr>
        <w:t xml:space="preserve">observation générale </w:t>
      </w:r>
      <w:r w:rsidR="00717BCE" w:rsidRPr="00717BCE">
        <w:rPr>
          <w:rFonts w:eastAsia="MS Mincho"/>
          <w:b/>
          <w:bCs/>
          <w:szCs w:val="22"/>
          <w:lang w:val="fr-FR"/>
        </w:rPr>
        <w:t>n</w:t>
      </w:r>
      <w:r w:rsidR="00717BCE" w:rsidRPr="00717BCE">
        <w:rPr>
          <w:rFonts w:eastAsia="MS Mincho"/>
          <w:b/>
          <w:bCs/>
          <w:szCs w:val="22"/>
          <w:vertAlign w:val="superscript"/>
          <w:lang w:val="fr-FR"/>
        </w:rPr>
        <w:t>o</w:t>
      </w:r>
      <w:r w:rsidR="00717BCE" w:rsidRPr="00717BCE">
        <w:rPr>
          <w:b/>
          <w:bCs/>
          <w:lang w:val="fr-FR"/>
        </w:rPr>
        <w:t> </w:t>
      </w:r>
      <w:r w:rsidRPr="00717BCE">
        <w:rPr>
          <w:b/>
          <w:bCs/>
          <w:lang w:val="fr-FR"/>
        </w:rPr>
        <w:t>24 (2019) ;</w:t>
      </w:r>
    </w:p>
    <w:p w14:paraId="0DE9969F" w14:textId="2CD61543" w:rsidR="00050CF5" w:rsidRPr="00717BCE" w:rsidRDefault="00050CF5" w:rsidP="00050CF5">
      <w:pPr>
        <w:pStyle w:val="SingleTxtG"/>
        <w:ind w:firstLine="567"/>
        <w:rPr>
          <w:b/>
          <w:bCs/>
          <w:lang w:val="fr-FR"/>
        </w:rPr>
      </w:pPr>
      <w:r w:rsidRPr="00717BCE">
        <w:rPr>
          <w:b/>
          <w:bCs/>
          <w:lang w:val="fr-FR"/>
        </w:rPr>
        <w:t>b)</w:t>
      </w:r>
      <w:r w:rsidRPr="00717BCE">
        <w:rPr>
          <w:b/>
          <w:bCs/>
          <w:lang w:val="fr-FR"/>
        </w:rPr>
        <w:tab/>
        <w:t>De veiller à ce que toutes les affaires concernant des personnes de moins de 18</w:t>
      </w:r>
      <w:r w:rsidR="00E948BA">
        <w:rPr>
          <w:b/>
          <w:bCs/>
          <w:lang w:val="fr-FR"/>
        </w:rPr>
        <w:t> </w:t>
      </w:r>
      <w:r w:rsidRPr="00717BCE">
        <w:rPr>
          <w:b/>
          <w:bCs/>
          <w:lang w:val="fr-FR"/>
        </w:rPr>
        <w:t>ans, y compris des personnes de plus de 16</w:t>
      </w:r>
      <w:r w:rsidR="00E948BA">
        <w:rPr>
          <w:b/>
          <w:bCs/>
          <w:lang w:val="fr-FR"/>
        </w:rPr>
        <w:t> </w:t>
      </w:r>
      <w:r w:rsidRPr="00717BCE">
        <w:rPr>
          <w:b/>
          <w:bCs/>
          <w:lang w:val="fr-FR"/>
        </w:rPr>
        <w:t>ans, soient traitées par un tribunal spécialisé pour enfants et par des juges spécialement formés ;</w:t>
      </w:r>
    </w:p>
    <w:p w14:paraId="5543F7C0" w14:textId="3F462525" w:rsidR="00050CF5" w:rsidRPr="00717BCE" w:rsidRDefault="00050CF5" w:rsidP="00050CF5">
      <w:pPr>
        <w:pStyle w:val="SingleTxtG"/>
        <w:ind w:firstLine="567"/>
        <w:rPr>
          <w:b/>
          <w:bCs/>
          <w:lang w:val="fr-FR"/>
        </w:rPr>
      </w:pPr>
      <w:r w:rsidRPr="00717BCE">
        <w:rPr>
          <w:b/>
          <w:bCs/>
          <w:lang w:val="fr-FR"/>
        </w:rPr>
        <w:t>c)</w:t>
      </w:r>
      <w:r w:rsidRPr="00717BCE">
        <w:rPr>
          <w:b/>
          <w:bCs/>
          <w:lang w:val="fr-FR"/>
        </w:rPr>
        <w:tab/>
        <w:t>De promouvoir le recours à des mesures non judiciaires, telles que des mesures de déjudiciarisation, de médiation et d</w:t>
      </w:r>
      <w:r w:rsidRPr="00717BCE">
        <w:rPr>
          <w:b/>
          <w:bCs/>
          <w:lang w:val="fr-FR"/>
        </w:rPr>
        <w:t>’</w:t>
      </w:r>
      <w:r w:rsidRPr="00717BCE">
        <w:rPr>
          <w:b/>
          <w:bCs/>
          <w:lang w:val="fr-FR"/>
        </w:rPr>
        <w:t>accompagnement, pour les enfants accusés d</w:t>
      </w:r>
      <w:r w:rsidRPr="00717BCE">
        <w:rPr>
          <w:b/>
          <w:bCs/>
          <w:lang w:val="fr-FR"/>
        </w:rPr>
        <w:t>’</w:t>
      </w:r>
      <w:r w:rsidRPr="00717BCE">
        <w:rPr>
          <w:b/>
          <w:bCs/>
          <w:lang w:val="fr-FR"/>
        </w:rPr>
        <w:t>infractions pénales et, lorsque cela est possible, d</w:t>
      </w:r>
      <w:r w:rsidRPr="00717BCE">
        <w:rPr>
          <w:b/>
          <w:bCs/>
          <w:lang w:val="fr-FR"/>
        </w:rPr>
        <w:t>’</w:t>
      </w:r>
      <w:r w:rsidRPr="00717BCE">
        <w:rPr>
          <w:b/>
          <w:bCs/>
          <w:lang w:val="fr-FR"/>
        </w:rPr>
        <w:t>appliquer aux enfants des peines non privatives de liberté, telles que la mise à l</w:t>
      </w:r>
      <w:r w:rsidRPr="00717BCE">
        <w:rPr>
          <w:b/>
          <w:bCs/>
          <w:lang w:val="fr-FR"/>
        </w:rPr>
        <w:t>’</w:t>
      </w:r>
      <w:r w:rsidRPr="00717BCE">
        <w:rPr>
          <w:b/>
          <w:bCs/>
          <w:lang w:val="fr-FR"/>
        </w:rPr>
        <w:t>épreuve ou les travaux d</w:t>
      </w:r>
      <w:r w:rsidRPr="00717BCE">
        <w:rPr>
          <w:b/>
          <w:bCs/>
          <w:lang w:val="fr-FR"/>
        </w:rPr>
        <w:t>’</w:t>
      </w:r>
      <w:r w:rsidRPr="00717BCE">
        <w:rPr>
          <w:b/>
          <w:bCs/>
          <w:lang w:val="fr-FR"/>
        </w:rPr>
        <w:t>intérêt général ;</w:t>
      </w:r>
    </w:p>
    <w:p w14:paraId="2B845E1D" w14:textId="22D917A7" w:rsidR="00050CF5" w:rsidRPr="00717BCE" w:rsidRDefault="00050CF5" w:rsidP="00050CF5">
      <w:pPr>
        <w:pStyle w:val="SingleTxtG"/>
        <w:ind w:firstLine="567"/>
        <w:rPr>
          <w:b/>
          <w:bCs/>
          <w:lang w:val="fr-FR"/>
        </w:rPr>
      </w:pPr>
      <w:r w:rsidRPr="00717BCE">
        <w:rPr>
          <w:b/>
          <w:bCs/>
          <w:lang w:val="fr-FR"/>
        </w:rPr>
        <w:t>d)</w:t>
      </w:r>
      <w:r w:rsidRPr="00717BCE">
        <w:rPr>
          <w:b/>
          <w:bCs/>
          <w:lang w:val="fr-FR"/>
        </w:rPr>
        <w:tab/>
        <w:t>De veiller à ce que la détention soit une mesure de dernier recours, imposée pour la période la plus courte possible, et que l</w:t>
      </w:r>
      <w:r w:rsidRPr="00717BCE">
        <w:rPr>
          <w:b/>
          <w:bCs/>
          <w:lang w:val="fr-FR"/>
        </w:rPr>
        <w:t>’</w:t>
      </w:r>
      <w:r w:rsidRPr="00717BCE">
        <w:rPr>
          <w:b/>
          <w:bCs/>
          <w:lang w:val="fr-FR"/>
        </w:rPr>
        <w:t>opportunité d</w:t>
      </w:r>
      <w:r w:rsidRPr="00717BCE">
        <w:rPr>
          <w:b/>
          <w:bCs/>
          <w:lang w:val="fr-FR"/>
        </w:rPr>
        <w:t>’</w:t>
      </w:r>
      <w:r w:rsidRPr="00717BCE">
        <w:rPr>
          <w:b/>
          <w:bCs/>
          <w:lang w:val="fr-FR"/>
        </w:rPr>
        <w:t>y mettre fin soit régulièrement examinée ;</w:t>
      </w:r>
    </w:p>
    <w:p w14:paraId="101B3E74" w14:textId="32B995FD" w:rsidR="00050CF5" w:rsidRPr="00717BCE" w:rsidRDefault="00050CF5" w:rsidP="00050CF5">
      <w:pPr>
        <w:pStyle w:val="SingleTxtG"/>
        <w:ind w:firstLine="567"/>
        <w:rPr>
          <w:b/>
          <w:bCs/>
          <w:lang w:val="fr-FR"/>
        </w:rPr>
      </w:pPr>
      <w:r w:rsidRPr="00717BCE">
        <w:rPr>
          <w:b/>
          <w:bCs/>
          <w:lang w:val="fr-FR"/>
        </w:rPr>
        <w:t>e)</w:t>
      </w:r>
      <w:r w:rsidRPr="00717BCE">
        <w:rPr>
          <w:b/>
          <w:bCs/>
          <w:lang w:val="fr-FR"/>
        </w:rPr>
        <w:tab/>
        <w:t>De faire en sorte, dans les rares cas où la privation de liberté est justifiée en tant que mesure de dernier recours, qu</w:t>
      </w:r>
      <w:r w:rsidRPr="00717BCE">
        <w:rPr>
          <w:b/>
          <w:bCs/>
          <w:lang w:val="fr-FR"/>
        </w:rPr>
        <w:t>’</w:t>
      </w:r>
      <w:r w:rsidRPr="00717BCE">
        <w:rPr>
          <w:b/>
          <w:bCs/>
          <w:lang w:val="fr-FR"/>
        </w:rPr>
        <w:t>il s</w:t>
      </w:r>
      <w:r w:rsidRPr="00717BCE">
        <w:rPr>
          <w:b/>
          <w:bCs/>
          <w:lang w:val="fr-FR"/>
        </w:rPr>
        <w:t>’</w:t>
      </w:r>
      <w:r w:rsidRPr="00717BCE">
        <w:rPr>
          <w:b/>
          <w:bCs/>
          <w:lang w:val="fr-FR"/>
        </w:rPr>
        <w:t>agisse d</w:t>
      </w:r>
      <w:r w:rsidRPr="00717BCE">
        <w:rPr>
          <w:b/>
          <w:bCs/>
          <w:lang w:val="fr-FR"/>
        </w:rPr>
        <w:t>’</w:t>
      </w:r>
      <w:r w:rsidRPr="00717BCE">
        <w:rPr>
          <w:b/>
          <w:bCs/>
          <w:lang w:val="fr-FR"/>
        </w:rPr>
        <w:t>une détention avant jugement ou d</w:t>
      </w:r>
      <w:r w:rsidRPr="00717BCE">
        <w:rPr>
          <w:b/>
          <w:bCs/>
          <w:lang w:val="fr-FR"/>
        </w:rPr>
        <w:t>’</w:t>
      </w:r>
      <w:r w:rsidRPr="00717BCE">
        <w:rPr>
          <w:b/>
          <w:bCs/>
          <w:lang w:val="fr-FR"/>
        </w:rPr>
        <w:t>une sanction, que les enfants, en particulier les filles, ne soient pas détenus dans les mêmes établissements pénitentiaires que les adultes et que les conditions de détention soient adaptées aux enfants et conformes aux normes internationales ;</w:t>
      </w:r>
    </w:p>
    <w:p w14:paraId="0037994C" w14:textId="77777777" w:rsidR="00050CF5" w:rsidRPr="00717BCE" w:rsidRDefault="00050CF5" w:rsidP="00050CF5">
      <w:pPr>
        <w:pStyle w:val="SingleTxtG"/>
        <w:ind w:firstLine="567"/>
        <w:rPr>
          <w:b/>
          <w:bCs/>
          <w:lang w:val="fr-FR"/>
        </w:rPr>
      </w:pPr>
      <w:r w:rsidRPr="00717BCE">
        <w:rPr>
          <w:b/>
          <w:bCs/>
          <w:lang w:val="fr-FR"/>
        </w:rPr>
        <w:t>f)</w:t>
      </w:r>
      <w:r w:rsidRPr="00717BCE">
        <w:rPr>
          <w:b/>
          <w:bCs/>
          <w:lang w:val="fr-FR"/>
        </w:rPr>
        <w:tab/>
        <w:t>De limiter le recours à la détention provisoire pour les enfants et de fixer une durée maximale ;</w:t>
      </w:r>
    </w:p>
    <w:p w14:paraId="7000B214" w14:textId="77777777" w:rsidR="00050CF5" w:rsidRPr="00DC2178" w:rsidRDefault="00050CF5" w:rsidP="00050CF5">
      <w:pPr>
        <w:pStyle w:val="SingleTxtG"/>
        <w:ind w:firstLine="567"/>
        <w:rPr>
          <w:b/>
          <w:bCs/>
          <w:lang w:val="fr-FR"/>
        </w:rPr>
      </w:pPr>
      <w:r w:rsidRPr="00717BCE">
        <w:rPr>
          <w:b/>
          <w:bCs/>
          <w:lang w:val="fr-FR"/>
        </w:rPr>
        <w:t>g)</w:t>
      </w:r>
      <w:r w:rsidRPr="00717BCE">
        <w:rPr>
          <w:b/>
          <w:bCs/>
          <w:lang w:val="fr-FR"/>
        </w:rPr>
        <w:tab/>
        <w:t>De détecter les actes de violence de manière systématique, notamment au moyen de</w:t>
      </w:r>
      <w:r>
        <w:rPr>
          <w:b/>
          <w:bCs/>
          <w:lang w:val="fr-FR"/>
        </w:rPr>
        <w:t xml:space="preserve"> mécanismes de signalement des violences facilement accessibles aux enfants privés de liberté et de mettre en place des outils et des politiques visant à réduire la violence dans les lieux de privation de liberté ;</w:t>
      </w:r>
    </w:p>
    <w:p w14:paraId="65BC8F51" w14:textId="3E8F5E9F" w:rsidR="00050CF5" w:rsidRPr="00DC2178" w:rsidRDefault="00050CF5" w:rsidP="00050CF5">
      <w:pPr>
        <w:pStyle w:val="SingleTxtG"/>
        <w:ind w:firstLine="567"/>
        <w:rPr>
          <w:b/>
          <w:bCs/>
          <w:lang w:val="fr-FR"/>
        </w:rPr>
      </w:pPr>
      <w:r w:rsidRPr="00717BCE">
        <w:rPr>
          <w:b/>
          <w:bCs/>
          <w:lang w:val="fr-FR"/>
        </w:rPr>
        <w:t>h)</w:t>
      </w:r>
      <w:r w:rsidRPr="00717BCE">
        <w:rPr>
          <w:b/>
          <w:bCs/>
          <w:lang w:val="fr-FR"/>
        </w:rPr>
        <w:tab/>
      </w:r>
      <w:r>
        <w:rPr>
          <w:b/>
          <w:bCs/>
          <w:lang w:val="fr-FR"/>
        </w:rPr>
        <w:t xml:space="preserve">De veiller à ce que le </w:t>
      </w:r>
      <w:r w:rsidR="009002F3">
        <w:rPr>
          <w:b/>
          <w:bCs/>
          <w:lang w:val="fr-FR"/>
        </w:rPr>
        <w:t>r</w:t>
      </w:r>
      <w:r>
        <w:rPr>
          <w:b/>
          <w:bCs/>
          <w:lang w:val="fr-FR"/>
        </w:rPr>
        <w:t>apport d</w:t>
      </w:r>
      <w:r>
        <w:rPr>
          <w:b/>
          <w:bCs/>
          <w:lang w:val="fr-FR"/>
        </w:rPr>
        <w:t>’</w:t>
      </w:r>
      <w:r>
        <w:rPr>
          <w:b/>
          <w:bCs/>
          <w:lang w:val="fr-FR"/>
        </w:rPr>
        <w:t>évaluation sur la mise en œuvre du Code de la justice pénale des mineurs de 2021, que le Gouvernement doit publier en septembre 2023, comporte une évaluation et une analyse de l</w:t>
      </w:r>
      <w:r>
        <w:rPr>
          <w:b/>
          <w:bCs/>
          <w:lang w:val="fr-FR"/>
        </w:rPr>
        <w:t>’</w:t>
      </w:r>
      <w:r>
        <w:rPr>
          <w:b/>
          <w:bCs/>
          <w:lang w:val="fr-FR"/>
        </w:rPr>
        <w:t xml:space="preserve">impact du Code sur la </w:t>
      </w:r>
      <w:r>
        <w:rPr>
          <w:b/>
          <w:bCs/>
          <w:lang w:val="fr-FR"/>
        </w:rPr>
        <w:lastRenderedPageBreak/>
        <w:t>réadaptation, la prise en charge et l</w:t>
      </w:r>
      <w:r>
        <w:rPr>
          <w:b/>
          <w:bCs/>
          <w:lang w:val="fr-FR"/>
        </w:rPr>
        <w:t>’</w:t>
      </w:r>
      <w:r>
        <w:rPr>
          <w:b/>
          <w:bCs/>
          <w:lang w:val="fr-FR"/>
        </w:rPr>
        <w:t>éducation des enfants et sur le taux d</w:t>
      </w:r>
      <w:r>
        <w:rPr>
          <w:b/>
          <w:bCs/>
          <w:lang w:val="fr-FR"/>
        </w:rPr>
        <w:t>’</w:t>
      </w:r>
      <w:r>
        <w:rPr>
          <w:b/>
          <w:bCs/>
          <w:lang w:val="fr-FR"/>
        </w:rPr>
        <w:t>incarcération des enfants, et d</w:t>
      </w:r>
      <w:r>
        <w:rPr>
          <w:b/>
          <w:bCs/>
          <w:lang w:val="fr-FR"/>
        </w:rPr>
        <w:t>’</w:t>
      </w:r>
      <w:r>
        <w:rPr>
          <w:b/>
          <w:bCs/>
          <w:lang w:val="fr-FR"/>
        </w:rPr>
        <w:t>examiner à nouveau la possibilité de rassembler toutes les lois concernant les enfants dans un code global de l</w:t>
      </w:r>
      <w:r>
        <w:rPr>
          <w:b/>
          <w:bCs/>
          <w:lang w:val="fr-FR"/>
        </w:rPr>
        <w:t>’</w:t>
      </w:r>
      <w:r>
        <w:rPr>
          <w:b/>
          <w:bCs/>
          <w:lang w:val="fr-FR"/>
        </w:rPr>
        <w:t>enfance.</w:t>
      </w:r>
    </w:p>
    <w:p w14:paraId="0DD30DCA" w14:textId="209B960B" w:rsidR="00050CF5" w:rsidRPr="00DC2178" w:rsidRDefault="00717BCE" w:rsidP="00050CF5">
      <w:pPr>
        <w:pStyle w:val="H1G"/>
        <w:rPr>
          <w:bCs/>
          <w:lang w:val="fr-FR"/>
        </w:rPr>
      </w:pPr>
      <w:r>
        <w:rPr>
          <w:bCs/>
          <w:lang w:val="fr-FR"/>
        </w:rPr>
        <w:tab/>
      </w:r>
      <w:r w:rsidR="00050CF5">
        <w:rPr>
          <w:bCs/>
          <w:lang w:val="fr-FR"/>
        </w:rPr>
        <w:t>J.</w:t>
      </w:r>
      <w:r w:rsidR="00050CF5">
        <w:rPr>
          <w:lang w:val="fr-FR"/>
        </w:rPr>
        <w:tab/>
      </w:r>
      <w:r w:rsidR="00050CF5">
        <w:rPr>
          <w:bCs/>
          <w:lang w:val="fr-FR"/>
        </w:rPr>
        <w:t>Suite donnée aux précédentes observations finales et recommandations du Comité portant sur l</w:t>
      </w:r>
      <w:r w:rsidR="00050CF5">
        <w:rPr>
          <w:bCs/>
          <w:lang w:val="fr-FR"/>
        </w:rPr>
        <w:t>’</w:t>
      </w:r>
      <w:r w:rsidR="00050CF5">
        <w:rPr>
          <w:bCs/>
          <w:lang w:val="fr-FR"/>
        </w:rPr>
        <w:t xml:space="preserve">application des Protocoles facultatifs </w:t>
      </w:r>
      <w:r>
        <w:rPr>
          <w:bCs/>
          <w:lang w:val="fr-FR"/>
        </w:rPr>
        <w:br/>
      </w:r>
      <w:r w:rsidR="00050CF5">
        <w:rPr>
          <w:bCs/>
          <w:lang w:val="fr-FR"/>
        </w:rPr>
        <w:t>à la Convention</w:t>
      </w:r>
    </w:p>
    <w:p w14:paraId="74C4BF6B" w14:textId="1E76800B" w:rsidR="00050CF5" w:rsidRPr="00DC2178" w:rsidRDefault="00050CF5" w:rsidP="00050CF5">
      <w:pPr>
        <w:pStyle w:val="H23G"/>
        <w:rPr>
          <w:rFonts w:eastAsia="Calibri"/>
          <w:bCs/>
          <w:lang w:val="fr-FR"/>
        </w:rPr>
      </w:pPr>
      <w:r>
        <w:rPr>
          <w:lang w:val="fr-FR"/>
        </w:rPr>
        <w:tab/>
      </w:r>
      <w:r>
        <w:rPr>
          <w:lang w:val="fr-FR"/>
        </w:rPr>
        <w:tab/>
      </w:r>
      <w:r>
        <w:rPr>
          <w:lang w:val="fr-FR"/>
        </w:rPr>
        <w:tab/>
      </w:r>
      <w:r>
        <w:rPr>
          <w:bCs/>
          <w:lang w:val="fr-FR"/>
        </w:rPr>
        <w:t>Protocole facultatif concernant la vente d</w:t>
      </w:r>
      <w:r>
        <w:rPr>
          <w:bCs/>
          <w:lang w:val="fr-FR"/>
        </w:rPr>
        <w:t>’</w:t>
      </w:r>
      <w:r>
        <w:rPr>
          <w:bCs/>
          <w:lang w:val="fr-FR"/>
        </w:rPr>
        <w:t xml:space="preserve">enfants, la prostitution des enfants </w:t>
      </w:r>
      <w:r w:rsidR="00310CCF">
        <w:rPr>
          <w:bCs/>
          <w:lang w:val="fr-FR"/>
        </w:rPr>
        <w:br/>
      </w:r>
      <w:r>
        <w:rPr>
          <w:bCs/>
          <w:lang w:val="fr-FR"/>
        </w:rPr>
        <w:t>et la pornographie mettant en scène des enfants</w:t>
      </w:r>
    </w:p>
    <w:p w14:paraId="3AF05F30" w14:textId="73DC3E55" w:rsidR="00050CF5" w:rsidRPr="00DC2178" w:rsidRDefault="00050CF5" w:rsidP="00050CF5">
      <w:pPr>
        <w:pStyle w:val="SingleTxtG"/>
        <w:rPr>
          <w:b/>
          <w:bCs/>
          <w:lang w:val="fr-FR"/>
        </w:rPr>
      </w:pPr>
      <w:r>
        <w:rPr>
          <w:lang w:val="fr-FR"/>
        </w:rPr>
        <w:t>48.</w:t>
      </w:r>
      <w:r>
        <w:rPr>
          <w:lang w:val="fr-FR"/>
        </w:rPr>
        <w:tab/>
      </w:r>
      <w:r>
        <w:rPr>
          <w:b/>
          <w:bCs/>
          <w:lang w:val="fr-FR"/>
        </w:rPr>
        <w:t>Le Comité prend note avec satisfaction du lancement du premier plan de lutte contre la prostitution des mineurs, le 15</w:t>
      </w:r>
      <w:r w:rsidR="00717BCE">
        <w:rPr>
          <w:b/>
          <w:bCs/>
          <w:lang w:val="fr-FR"/>
        </w:rPr>
        <w:t> </w:t>
      </w:r>
      <w:r>
        <w:rPr>
          <w:b/>
          <w:bCs/>
          <w:lang w:val="fr-FR"/>
        </w:rPr>
        <w:t>novembre 2021, et, renvoyant à ses Lignes directrices concernant l</w:t>
      </w:r>
      <w:r>
        <w:rPr>
          <w:b/>
          <w:bCs/>
          <w:lang w:val="fr-FR"/>
        </w:rPr>
        <w:t>’</w:t>
      </w:r>
      <w:r>
        <w:rPr>
          <w:b/>
          <w:bCs/>
          <w:lang w:val="fr-FR"/>
        </w:rPr>
        <w:t>application du Protocole facultatif</w:t>
      </w:r>
      <w:r w:rsidRPr="00A02FBD">
        <w:rPr>
          <w:rStyle w:val="Appelnotedebasdep"/>
          <w:lang w:val="fr-FR"/>
        </w:rPr>
        <w:footnoteReference w:id="10"/>
      </w:r>
      <w:r>
        <w:rPr>
          <w:b/>
          <w:bCs/>
          <w:lang w:val="fr-FR"/>
        </w:rPr>
        <w:t>, adoptées en 2019, recommande à l</w:t>
      </w:r>
      <w:r>
        <w:rPr>
          <w:b/>
          <w:bCs/>
          <w:lang w:val="fr-FR"/>
        </w:rPr>
        <w:t>’</w:t>
      </w:r>
      <w:r>
        <w:rPr>
          <w:b/>
          <w:bCs/>
          <w:lang w:val="fr-FR"/>
        </w:rPr>
        <w:t>État partie :</w:t>
      </w:r>
    </w:p>
    <w:p w14:paraId="32807CE5" w14:textId="7A9069AE" w:rsidR="00050CF5" w:rsidRPr="00717BCE" w:rsidRDefault="00050CF5" w:rsidP="00050CF5">
      <w:pPr>
        <w:pStyle w:val="SingleTxtG"/>
        <w:ind w:firstLine="567"/>
        <w:rPr>
          <w:b/>
          <w:bCs/>
          <w:lang w:val="fr-FR"/>
        </w:rPr>
      </w:pPr>
      <w:r w:rsidRPr="00717BCE">
        <w:rPr>
          <w:b/>
          <w:bCs/>
          <w:lang w:val="fr-FR"/>
        </w:rPr>
        <w:t>a)</w:t>
      </w:r>
      <w:r w:rsidRPr="00717BCE">
        <w:rPr>
          <w:b/>
          <w:bCs/>
          <w:lang w:val="fr-FR"/>
        </w:rPr>
        <w:tab/>
        <w:t>De veiller à ce que la législation nationale comporte une définition de l</w:t>
      </w:r>
      <w:r w:rsidRPr="00717BCE">
        <w:rPr>
          <w:b/>
          <w:bCs/>
          <w:lang w:val="fr-FR"/>
        </w:rPr>
        <w:t>’</w:t>
      </w:r>
      <w:r w:rsidRPr="00717BCE">
        <w:rPr>
          <w:b/>
          <w:bCs/>
          <w:lang w:val="fr-FR"/>
        </w:rPr>
        <w:t>expression « vente d</w:t>
      </w:r>
      <w:r w:rsidRPr="00717BCE">
        <w:rPr>
          <w:b/>
          <w:bCs/>
          <w:lang w:val="fr-FR"/>
        </w:rPr>
        <w:t>’</w:t>
      </w:r>
      <w:r w:rsidRPr="00717BCE">
        <w:rPr>
          <w:b/>
          <w:bCs/>
          <w:lang w:val="fr-FR"/>
        </w:rPr>
        <w:t>enfants » ;</w:t>
      </w:r>
    </w:p>
    <w:p w14:paraId="06442979" w14:textId="213111A2" w:rsidR="00050CF5" w:rsidRPr="00717BCE" w:rsidRDefault="00050CF5" w:rsidP="00050CF5">
      <w:pPr>
        <w:pStyle w:val="SingleTxtG"/>
        <w:ind w:firstLine="567"/>
        <w:rPr>
          <w:b/>
          <w:bCs/>
          <w:lang w:val="fr-FR"/>
        </w:rPr>
      </w:pPr>
      <w:r w:rsidRPr="00717BCE">
        <w:rPr>
          <w:b/>
          <w:bCs/>
          <w:lang w:val="fr-FR"/>
        </w:rPr>
        <w:t>b)</w:t>
      </w:r>
      <w:r w:rsidRPr="00717BCE">
        <w:rPr>
          <w:b/>
          <w:bCs/>
          <w:lang w:val="fr-FR"/>
        </w:rPr>
        <w:tab/>
        <w:t>D</w:t>
      </w:r>
      <w:r w:rsidRPr="00717BCE">
        <w:rPr>
          <w:b/>
          <w:bCs/>
          <w:lang w:val="fr-FR"/>
        </w:rPr>
        <w:t>’</w:t>
      </w:r>
      <w:r w:rsidRPr="00717BCE">
        <w:rPr>
          <w:b/>
          <w:bCs/>
          <w:lang w:val="fr-FR"/>
        </w:rPr>
        <w:t>accélérer la mise en place d</w:t>
      </w:r>
      <w:r w:rsidRPr="00717BCE">
        <w:rPr>
          <w:b/>
          <w:bCs/>
          <w:lang w:val="fr-FR"/>
        </w:rPr>
        <w:t>’</w:t>
      </w:r>
      <w:r w:rsidRPr="00717BCE">
        <w:rPr>
          <w:b/>
          <w:bCs/>
          <w:lang w:val="fr-FR"/>
        </w:rPr>
        <w:t>un mécanisme national d</w:t>
      </w:r>
      <w:r w:rsidRPr="00717BCE">
        <w:rPr>
          <w:b/>
          <w:bCs/>
          <w:lang w:val="fr-FR"/>
        </w:rPr>
        <w:t>’</w:t>
      </w:r>
      <w:r w:rsidRPr="00717BCE">
        <w:rPr>
          <w:b/>
          <w:bCs/>
          <w:lang w:val="fr-FR"/>
        </w:rPr>
        <w:t>identification et d</w:t>
      </w:r>
      <w:r w:rsidRPr="00717BCE">
        <w:rPr>
          <w:b/>
          <w:bCs/>
          <w:lang w:val="fr-FR"/>
        </w:rPr>
        <w:t>’</w:t>
      </w:r>
      <w:r w:rsidRPr="00717BCE">
        <w:rPr>
          <w:b/>
          <w:bCs/>
          <w:lang w:val="fr-FR"/>
        </w:rPr>
        <w:t>orientation des victimes d</w:t>
      </w:r>
      <w:r w:rsidRPr="00717BCE">
        <w:rPr>
          <w:b/>
          <w:bCs/>
          <w:lang w:val="fr-FR"/>
        </w:rPr>
        <w:t>’</w:t>
      </w:r>
      <w:r w:rsidRPr="00717BCE">
        <w:rPr>
          <w:b/>
          <w:bCs/>
          <w:lang w:val="fr-FR"/>
        </w:rPr>
        <w:t>infractions visées par le Protocole facultatif, y compris celles commises en ligne ;</w:t>
      </w:r>
    </w:p>
    <w:p w14:paraId="7FF7B6FC" w14:textId="53D209BD" w:rsidR="00050CF5" w:rsidRPr="00DC2178" w:rsidRDefault="00050CF5" w:rsidP="00050CF5">
      <w:pPr>
        <w:pStyle w:val="SingleTxtG"/>
        <w:ind w:firstLine="567"/>
        <w:rPr>
          <w:b/>
          <w:bCs/>
          <w:lang w:val="fr-FR"/>
        </w:rPr>
      </w:pPr>
      <w:r w:rsidRPr="00717BCE">
        <w:rPr>
          <w:b/>
          <w:bCs/>
          <w:lang w:val="fr-FR"/>
        </w:rPr>
        <w:t>c)</w:t>
      </w:r>
      <w:r w:rsidRPr="00717BCE">
        <w:rPr>
          <w:b/>
          <w:bCs/>
          <w:lang w:val="fr-FR"/>
        </w:rPr>
        <w:tab/>
        <w:t>De veiller à l</w:t>
      </w:r>
      <w:r w:rsidRPr="00717BCE">
        <w:rPr>
          <w:b/>
          <w:bCs/>
          <w:lang w:val="fr-FR"/>
        </w:rPr>
        <w:t>’</w:t>
      </w:r>
      <w:r w:rsidRPr="00717BCE">
        <w:rPr>
          <w:b/>
          <w:bCs/>
          <w:lang w:val="fr-FR"/>
        </w:rPr>
        <w:t xml:space="preserve">application effective de la loi </w:t>
      </w:r>
      <w:r w:rsidR="00717BCE" w:rsidRPr="00717BCE">
        <w:rPr>
          <w:rFonts w:eastAsia="MS Mincho"/>
          <w:b/>
          <w:bCs/>
          <w:szCs w:val="22"/>
          <w:lang w:val="fr-FR"/>
        </w:rPr>
        <w:t>n</w:t>
      </w:r>
      <w:r w:rsidR="00717BCE" w:rsidRPr="00717BCE">
        <w:rPr>
          <w:rFonts w:eastAsia="MS Mincho"/>
          <w:b/>
          <w:bCs/>
          <w:szCs w:val="22"/>
          <w:vertAlign w:val="superscript"/>
          <w:lang w:val="fr-FR"/>
        </w:rPr>
        <w:t>o</w:t>
      </w:r>
      <w:r w:rsidR="00717BCE">
        <w:rPr>
          <w:b/>
          <w:bCs/>
          <w:lang w:val="fr-FR"/>
        </w:rPr>
        <w:t> </w:t>
      </w:r>
      <w:r w:rsidRPr="00717BCE">
        <w:rPr>
          <w:b/>
          <w:bCs/>
          <w:lang w:val="fr-FR"/>
        </w:rPr>
        <w:t>2017-399 du 27</w:t>
      </w:r>
      <w:r w:rsidR="00717BCE">
        <w:rPr>
          <w:b/>
          <w:bCs/>
          <w:lang w:val="fr-FR"/>
        </w:rPr>
        <w:t> </w:t>
      </w:r>
      <w:r w:rsidRPr="00717BCE">
        <w:rPr>
          <w:b/>
          <w:bCs/>
          <w:lang w:val="fr-FR"/>
        </w:rPr>
        <w:t>mars 2017 relative au</w:t>
      </w:r>
      <w:r>
        <w:rPr>
          <w:b/>
          <w:bCs/>
          <w:lang w:val="fr-FR"/>
        </w:rPr>
        <w:t xml:space="preserve"> devoir de vigilance des sociétés mères et des entreprises donneuses d</w:t>
      </w:r>
      <w:r>
        <w:rPr>
          <w:b/>
          <w:bCs/>
          <w:lang w:val="fr-FR"/>
        </w:rPr>
        <w:t>’</w:t>
      </w:r>
      <w:r>
        <w:rPr>
          <w:b/>
          <w:bCs/>
          <w:lang w:val="fr-FR"/>
        </w:rPr>
        <w:t>ordre en ce qui concerne les infractions visées par le Protocole facultatif et d</w:t>
      </w:r>
      <w:r>
        <w:rPr>
          <w:b/>
          <w:bCs/>
          <w:lang w:val="fr-FR"/>
        </w:rPr>
        <w:t>’</w:t>
      </w:r>
      <w:r>
        <w:rPr>
          <w:b/>
          <w:bCs/>
          <w:lang w:val="fr-FR"/>
        </w:rPr>
        <w:t>adopter des dispositions relatives à la responsabilité des personnes morales.</w:t>
      </w:r>
    </w:p>
    <w:p w14:paraId="5D33CBF2" w14:textId="3C8B88DB" w:rsidR="00050CF5" w:rsidRPr="00DC2178" w:rsidRDefault="00050CF5" w:rsidP="00050CF5">
      <w:pPr>
        <w:pStyle w:val="H23G"/>
        <w:rPr>
          <w:bCs/>
          <w:lang w:val="fr-FR"/>
        </w:rPr>
      </w:pPr>
      <w:r>
        <w:rPr>
          <w:lang w:val="fr-FR"/>
        </w:rPr>
        <w:tab/>
      </w:r>
      <w:r>
        <w:rPr>
          <w:lang w:val="fr-FR"/>
        </w:rPr>
        <w:tab/>
      </w:r>
      <w:r>
        <w:rPr>
          <w:bCs/>
          <w:lang w:val="fr-FR"/>
        </w:rPr>
        <w:t>Protocole facultatif concernant l</w:t>
      </w:r>
      <w:r>
        <w:rPr>
          <w:bCs/>
          <w:lang w:val="fr-FR"/>
        </w:rPr>
        <w:t>’</w:t>
      </w:r>
      <w:r>
        <w:rPr>
          <w:bCs/>
          <w:lang w:val="fr-FR"/>
        </w:rPr>
        <w:t>implication d</w:t>
      </w:r>
      <w:r>
        <w:rPr>
          <w:bCs/>
          <w:lang w:val="fr-FR"/>
        </w:rPr>
        <w:t>’</w:t>
      </w:r>
      <w:r>
        <w:rPr>
          <w:bCs/>
          <w:lang w:val="fr-FR"/>
        </w:rPr>
        <w:t>enfants dans les conflits armés</w:t>
      </w:r>
    </w:p>
    <w:p w14:paraId="2723DA0F" w14:textId="62542C8E" w:rsidR="00050CF5" w:rsidRPr="00DC2178" w:rsidRDefault="00050CF5" w:rsidP="00050CF5">
      <w:pPr>
        <w:pStyle w:val="SingleTxtG"/>
        <w:rPr>
          <w:b/>
          <w:bCs/>
          <w:lang w:val="fr-FR"/>
        </w:rPr>
      </w:pPr>
      <w:r>
        <w:rPr>
          <w:lang w:val="fr-FR"/>
        </w:rPr>
        <w:t>49.</w:t>
      </w:r>
      <w:r>
        <w:rPr>
          <w:lang w:val="fr-FR"/>
        </w:rPr>
        <w:tab/>
      </w:r>
      <w:r>
        <w:rPr>
          <w:b/>
          <w:bCs/>
          <w:lang w:val="fr-FR"/>
        </w:rPr>
        <w:t>Le Comité prend note des informations fournies par l</w:t>
      </w:r>
      <w:r>
        <w:rPr>
          <w:b/>
          <w:bCs/>
          <w:lang w:val="fr-FR"/>
        </w:rPr>
        <w:t>’</w:t>
      </w:r>
      <w:r>
        <w:rPr>
          <w:b/>
          <w:bCs/>
          <w:lang w:val="fr-FR"/>
        </w:rPr>
        <w:t>État partie selon lesquelles le fait de procéder à la conscription ou à l</w:t>
      </w:r>
      <w:r>
        <w:rPr>
          <w:b/>
          <w:bCs/>
          <w:lang w:val="fr-FR"/>
        </w:rPr>
        <w:t>’</w:t>
      </w:r>
      <w:r>
        <w:rPr>
          <w:b/>
          <w:bCs/>
          <w:lang w:val="fr-FR"/>
        </w:rPr>
        <w:t>enrôlement d</w:t>
      </w:r>
      <w:r>
        <w:rPr>
          <w:b/>
          <w:bCs/>
          <w:lang w:val="fr-FR"/>
        </w:rPr>
        <w:t>’</w:t>
      </w:r>
      <w:r>
        <w:rPr>
          <w:b/>
          <w:bCs/>
          <w:lang w:val="fr-FR"/>
        </w:rPr>
        <w:t>enfants dans les forces armées ou dans des groupes armés, y compris en cas d</w:t>
      </w:r>
      <w:r>
        <w:rPr>
          <w:b/>
          <w:bCs/>
          <w:lang w:val="fr-FR"/>
        </w:rPr>
        <w:t>’</w:t>
      </w:r>
      <w:r>
        <w:rPr>
          <w:b/>
          <w:bCs/>
          <w:lang w:val="fr-FR"/>
        </w:rPr>
        <w:t>enrôlement volontaire d</w:t>
      </w:r>
      <w:r>
        <w:rPr>
          <w:b/>
          <w:bCs/>
          <w:lang w:val="fr-FR"/>
        </w:rPr>
        <w:t>’</w:t>
      </w:r>
      <w:r>
        <w:rPr>
          <w:b/>
          <w:bCs/>
          <w:lang w:val="fr-FR"/>
        </w:rPr>
        <w:t>enfants de moins de 15</w:t>
      </w:r>
      <w:r w:rsidR="00717BCE">
        <w:rPr>
          <w:b/>
          <w:bCs/>
          <w:lang w:val="fr-FR"/>
        </w:rPr>
        <w:t> </w:t>
      </w:r>
      <w:r>
        <w:rPr>
          <w:b/>
          <w:bCs/>
          <w:lang w:val="fr-FR"/>
        </w:rPr>
        <w:t>ans, ou de faire participer activement des enfants de moins de 15</w:t>
      </w:r>
      <w:r w:rsidR="00717BCE">
        <w:rPr>
          <w:b/>
          <w:bCs/>
          <w:lang w:val="fr-FR"/>
        </w:rPr>
        <w:t> </w:t>
      </w:r>
      <w:r>
        <w:rPr>
          <w:b/>
          <w:bCs/>
          <w:lang w:val="fr-FR"/>
        </w:rPr>
        <w:t xml:space="preserve">ans à des hostilités, est puni de </w:t>
      </w:r>
      <w:r w:rsidR="00717BCE">
        <w:rPr>
          <w:b/>
          <w:bCs/>
          <w:lang w:val="fr-FR"/>
        </w:rPr>
        <w:t>vingt</w:t>
      </w:r>
      <w:r>
        <w:rPr>
          <w:b/>
          <w:bCs/>
          <w:lang w:val="fr-FR"/>
        </w:rPr>
        <w:t xml:space="preserve"> ans de réclusion criminelle.</w:t>
      </w:r>
      <w:r>
        <w:rPr>
          <w:lang w:val="fr-FR"/>
        </w:rPr>
        <w:t xml:space="preserve"> </w:t>
      </w:r>
      <w:r>
        <w:rPr>
          <w:b/>
          <w:bCs/>
          <w:lang w:val="fr-FR"/>
        </w:rPr>
        <w:t>Il recommande à l</w:t>
      </w:r>
      <w:r>
        <w:rPr>
          <w:b/>
          <w:bCs/>
          <w:lang w:val="fr-FR"/>
        </w:rPr>
        <w:t>’</w:t>
      </w:r>
      <w:r>
        <w:rPr>
          <w:b/>
          <w:bCs/>
          <w:lang w:val="fr-FR"/>
        </w:rPr>
        <w:t>État partie de relever officiellement l</w:t>
      </w:r>
      <w:r>
        <w:rPr>
          <w:b/>
          <w:bCs/>
          <w:lang w:val="fr-FR"/>
        </w:rPr>
        <w:t>’</w:t>
      </w:r>
      <w:r>
        <w:rPr>
          <w:b/>
          <w:bCs/>
          <w:lang w:val="fr-FR"/>
        </w:rPr>
        <w:t>âge minimum pour tout enrôlement dans les forces armées, en vue de retirer sa déclaration à cet égard.</w:t>
      </w:r>
      <w:r>
        <w:rPr>
          <w:lang w:val="fr-FR"/>
        </w:rPr>
        <w:t xml:space="preserve"> </w:t>
      </w:r>
      <w:r>
        <w:rPr>
          <w:b/>
          <w:bCs/>
          <w:lang w:val="fr-FR"/>
        </w:rPr>
        <w:t>Il recommande également à l</w:t>
      </w:r>
      <w:r>
        <w:rPr>
          <w:b/>
          <w:bCs/>
          <w:lang w:val="fr-FR"/>
        </w:rPr>
        <w:t>’</w:t>
      </w:r>
      <w:r>
        <w:rPr>
          <w:b/>
          <w:bCs/>
          <w:lang w:val="fr-FR"/>
        </w:rPr>
        <w:t>État partie d</w:t>
      </w:r>
      <w:r>
        <w:rPr>
          <w:b/>
          <w:bCs/>
          <w:lang w:val="fr-FR"/>
        </w:rPr>
        <w:t>’</w:t>
      </w:r>
      <w:r>
        <w:rPr>
          <w:b/>
          <w:bCs/>
          <w:lang w:val="fr-FR"/>
        </w:rPr>
        <w:t>établir sa compétence extraterritoriale pour les crimes visés par le Protocole facultatif.</w:t>
      </w:r>
    </w:p>
    <w:p w14:paraId="25712E71" w14:textId="6BEDF053" w:rsidR="00050CF5" w:rsidRPr="00F6423D" w:rsidRDefault="00717BCE" w:rsidP="00050CF5">
      <w:pPr>
        <w:pStyle w:val="H1G"/>
        <w:rPr>
          <w:rFonts w:eastAsia="SimSun"/>
          <w:bCs/>
          <w:spacing w:val="-2"/>
          <w:lang w:val="fr-FR"/>
        </w:rPr>
      </w:pPr>
      <w:r>
        <w:rPr>
          <w:bCs/>
          <w:lang w:val="fr-FR"/>
        </w:rPr>
        <w:tab/>
      </w:r>
      <w:r w:rsidR="00050CF5">
        <w:rPr>
          <w:bCs/>
          <w:lang w:val="fr-FR"/>
        </w:rPr>
        <w:t>K.</w:t>
      </w:r>
      <w:r w:rsidR="00050CF5">
        <w:rPr>
          <w:lang w:val="fr-FR"/>
        </w:rPr>
        <w:tab/>
      </w:r>
      <w:r w:rsidR="00050CF5">
        <w:rPr>
          <w:lang w:val="fr-FR"/>
        </w:rPr>
        <w:tab/>
      </w:r>
      <w:r w:rsidR="00050CF5" w:rsidRPr="00F6423D">
        <w:rPr>
          <w:bCs/>
          <w:spacing w:val="-2"/>
          <w:lang w:val="fr-FR"/>
        </w:rPr>
        <w:t>Ratification d</w:t>
      </w:r>
      <w:r w:rsidR="00050CF5" w:rsidRPr="00F6423D">
        <w:rPr>
          <w:bCs/>
          <w:spacing w:val="-2"/>
          <w:lang w:val="fr-FR"/>
        </w:rPr>
        <w:t>’</w:t>
      </w:r>
      <w:r w:rsidR="00050CF5" w:rsidRPr="00F6423D">
        <w:rPr>
          <w:bCs/>
          <w:spacing w:val="-2"/>
          <w:lang w:val="fr-FR"/>
        </w:rPr>
        <w:t>instruments internationaux relatifs aux droits de l</w:t>
      </w:r>
      <w:r w:rsidR="00050CF5" w:rsidRPr="00F6423D">
        <w:rPr>
          <w:bCs/>
          <w:spacing w:val="-2"/>
          <w:lang w:val="fr-FR"/>
        </w:rPr>
        <w:t>’</w:t>
      </w:r>
      <w:r w:rsidR="00050CF5" w:rsidRPr="00F6423D">
        <w:rPr>
          <w:bCs/>
          <w:spacing w:val="-2"/>
          <w:lang w:val="fr-FR"/>
        </w:rPr>
        <w:t>homme</w:t>
      </w:r>
      <w:bookmarkStart w:id="0" w:name="_Toc507168181"/>
      <w:bookmarkEnd w:id="0"/>
    </w:p>
    <w:p w14:paraId="020F7959" w14:textId="4009FE48" w:rsidR="00050CF5" w:rsidRPr="00DC2178" w:rsidRDefault="00050CF5" w:rsidP="00050CF5">
      <w:pPr>
        <w:pStyle w:val="SingleTxtG"/>
        <w:rPr>
          <w:b/>
          <w:bCs/>
          <w:lang w:val="fr-FR"/>
        </w:rPr>
      </w:pPr>
      <w:r>
        <w:rPr>
          <w:lang w:val="fr-FR"/>
        </w:rPr>
        <w:t>50.</w:t>
      </w:r>
      <w:r>
        <w:rPr>
          <w:lang w:val="fr-FR"/>
        </w:rPr>
        <w:tab/>
      </w:r>
      <w:r>
        <w:rPr>
          <w:b/>
          <w:bCs/>
          <w:lang w:val="fr-FR"/>
        </w:rPr>
        <w:t>Le Comité recommande à l</w:t>
      </w:r>
      <w:r>
        <w:rPr>
          <w:b/>
          <w:bCs/>
          <w:lang w:val="fr-FR"/>
        </w:rPr>
        <w:t>’</w:t>
      </w:r>
      <w:r>
        <w:rPr>
          <w:b/>
          <w:bCs/>
          <w:lang w:val="fr-FR"/>
        </w:rPr>
        <w:t>État partie d</w:t>
      </w:r>
      <w:r>
        <w:rPr>
          <w:b/>
          <w:bCs/>
          <w:lang w:val="fr-FR"/>
        </w:rPr>
        <w:t>’</w:t>
      </w:r>
      <w:r>
        <w:rPr>
          <w:b/>
          <w:bCs/>
          <w:lang w:val="fr-FR"/>
        </w:rPr>
        <w:t>envisager de ratifier la Convention internationale sur la protection des droits de tous les travailleurs migrants et des membres de leur famille, afin de renforcer encore le respect des droits de l</w:t>
      </w:r>
      <w:r>
        <w:rPr>
          <w:b/>
          <w:bCs/>
          <w:lang w:val="fr-FR"/>
        </w:rPr>
        <w:t>’</w:t>
      </w:r>
      <w:r>
        <w:rPr>
          <w:b/>
          <w:bCs/>
          <w:lang w:val="fr-FR"/>
        </w:rPr>
        <w:t>enfant.</w:t>
      </w:r>
    </w:p>
    <w:p w14:paraId="26AF0C12" w14:textId="792C5F39" w:rsidR="00050CF5" w:rsidRPr="00DC2178" w:rsidRDefault="005536E5" w:rsidP="00050CF5">
      <w:pPr>
        <w:pStyle w:val="H1G"/>
        <w:rPr>
          <w:rFonts w:eastAsia="SimSun"/>
          <w:bCs/>
          <w:lang w:val="fr-FR"/>
        </w:rPr>
      </w:pPr>
      <w:r>
        <w:rPr>
          <w:bCs/>
          <w:lang w:val="fr-FR"/>
        </w:rPr>
        <w:tab/>
      </w:r>
      <w:r w:rsidR="00050CF5">
        <w:rPr>
          <w:bCs/>
          <w:lang w:val="fr-FR"/>
        </w:rPr>
        <w:t>L.</w:t>
      </w:r>
      <w:r w:rsidR="00050CF5">
        <w:rPr>
          <w:lang w:val="fr-FR"/>
        </w:rPr>
        <w:tab/>
      </w:r>
      <w:r w:rsidR="00050CF5">
        <w:rPr>
          <w:bCs/>
          <w:lang w:val="fr-FR"/>
        </w:rPr>
        <w:t>Coopération avec les organismes régionaux</w:t>
      </w:r>
    </w:p>
    <w:p w14:paraId="246EE5FC" w14:textId="4884DFAE" w:rsidR="00050CF5" w:rsidRPr="00DC2178" w:rsidRDefault="00050CF5" w:rsidP="00050CF5">
      <w:pPr>
        <w:pStyle w:val="SingleTxtG"/>
        <w:rPr>
          <w:b/>
          <w:bCs/>
          <w:lang w:val="fr-FR"/>
        </w:rPr>
      </w:pPr>
      <w:r>
        <w:rPr>
          <w:lang w:val="fr-FR"/>
        </w:rPr>
        <w:t>51.</w:t>
      </w:r>
      <w:r>
        <w:rPr>
          <w:lang w:val="fr-FR"/>
        </w:rPr>
        <w:tab/>
      </w:r>
      <w:r>
        <w:rPr>
          <w:b/>
          <w:bCs/>
          <w:lang w:val="fr-FR"/>
        </w:rPr>
        <w:t>Le Comité recommande à l</w:t>
      </w:r>
      <w:r>
        <w:rPr>
          <w:b/>
          <w:bCs/>
          <w:lang w:val="fr-FR"/>
        </w:rPr>
        <w:t>’</w:t>
      </w:r>
      <w:r>
        <w:rPr>
          <w:b/>
          <w:bCs/>
          <w:lang w:val="fr-FR"/>
        </w:rPr>
        <w:t>État partie de continuer à coopérer avec le Conseil de l</w:t>
      </w:r>
      <w:r>
        <w:rPr>
          <w:b/>
          <w:bCs/>
          <w:lang w:val="fr-FR"/>
        </w:rPr>
        <w:t>’</w:t>
      </w:r>
      <w:r>
        <w:rPr>
          <w:b/>
          <w:bCs/>
          <w:lang w:val="fr-FR"/>
        </w:rPr>
        <w:t>Europe en vue d</w:t>
      </w:r>
      <w:r>
        <w:rPr>
          <w:b/>
          <w:bCs/>
          <w:lang w:val="fr-FR"/>
        </w:rPr>
        <w:t>’</w:t>
      </w:r>
      <w:r>
        <w:rPr>
          <w:b/>
          <w:bCs/>
          <w:lang w:val="fr-FR"/>
        </w:rPr>
        <w:t>appliquer la Convention et d</w:t>
      </w:r>
      <w:r>
        <w:rPr>
          <w:b/>
          <w:bCs/>
          <w:lang w:val="fr-FR"/>
        </w:rPr>
        <w:t>’</w:t>
      </w:r>
      <w:r>
        <w:rPr>
          <w:b/>
          <w:bCs/>
          <w:lang w:val="fr-FR"/>
        </w:rPr>
        <w:t>autres instruments relatifs aux droits de l</w:t>
      </w:r>
      <w:r>
        <w:rPr>
          <w:b/>
          <w:bCs/>
          <w:lang w:val="fr-FR"/>
        </w:rPr>
        <w:t>’</w:t>
      </w:r>
      <w:r>
        <w:rPr>
          <w:b/>
          <w:bCs/>
          <w:lang w:val="fr-FR"/>
        </w:rPr>
        <w:t>homme, tant sur son territoire que dans d</w:t>
      </w:r>
      <w:r>
        <w:rPr>
          <w:b/>
          <w:bCs/>
          <w:lang w:val="fr-FR"/>
        </w:rPr>
        <w:t>’</w:t>
      </w:r>
      <w:r>
        <w:rPr>
          <w:b/>
          <w:bCs/>
          <w:lang w:val="fr-FR"/>
        </w:rPr>
        <w:t>autres États membres du Conseil.</w:t>
      </w:r>
    </w:p>
    <w:p w14:paraId="4D79BE0D" w14:textId="364E19AD" w:rsidR="00050CF5" w:rsidRPr="00DC2178" w:rsidRDefault="005536E5" w:rsidP="00050CF5">
      <w:pPr>
        <w:pStyle w:val="HChG"/>
        <w:rPr>
          <w:bCs/>
          <w:lang w:val="fr-FR"/>
        </w:rPr>
      </w:pPr>
      <w:r>
        <w:rPr>
          <w:bCs/>
          <w:lang w:val="fr-FR"/>
        </w:rPr>
        <w:lastRenderedPageBreak/>
        <w:tab/>
      </w:r>
      <w:r w:rsidR="00050CF5">
        <w:rPr>
          <w:bCs/>
          <w:lang w:val="fr-FR"/>
        </w:rPr>
        <w:t>IV.</w:t>
      </w:r>
      <w:r w:rsidR="00050CF5">
        <w:rPr>
          <w:lang w:val="fr-FR"/>
        </w:rPr>
        <w:tab/>
      </w:r>
      <w:r w:rsidR="00050CF5">
        <w:rPr>
          <w:bCs/>
          <w:lang w:val="fr-FR"/>
        </w:rPr>
        <w:t>Application des recommandations et soumission de rapports</w:t>
      </w:r>
    </w:p>
    <w:p w14:paraId="527CD9D4" w14:textId="6D3BC103" w:rsidR="00050CF5" w:rsidRPr="00DC2178" w:rsidRDefault="005536E5" w:rsidP="00050CF5">
      <w:pPr>
        <w:pStyle w:val="H1G"/>
        <w:rPr>
          <w:bCs/>
          <w:lang w:val="fr-FR"/>
        </w:rPr>
      </w:pPr>
      <w:r>
        <w:rPr>
          <w:bCs/>
          <w:lang w:val="fr-FR"/>
        </w:rPr>
        <w:tab/>
      </w:r>
      <w:r w:rsidR="00050CF5">
        <w:rPr>
          <w:bCs/>
          <w:lang w:val="fr-FR"/>
        </w:rPr>
        <w:t>A.</w:t>
      </w:r>
      <w:r w:rsidR="00050CF5">
        <w:rPr>
          <w:lang w:val="fr-FR"/>
        </w:rPr>
        <w:tab/>
      </w:r>
      <w:r w:rsidR="00050CF5">
        <w:rPr>
          <w:bCs/>
          <w:lang w:val="fr-FR"/>
        </w:rPr>
        <w:t>Suivi et diffusion</w:t>
      </w:r>
    </w:p>
    <w:p w14:paraId="1ABD8371" w14:textId="00BC9BBD" w:rsidR="00050CF5" w:rsidRPr="00DC2178" w:rsidRDefault="00050CF5" w:rsidP="00050CF5">
      <w:pPr>
        <w:pStyle w:val="SingleTxtG"/>
        <w:rPr>
          <w:b/>
          <w:bCs/>
          <w:lang w:val="fr-FR"/>
        </w:rPr>
      </w:pPr>
      <w:r>
        <w:rPr>
          <w:lang w:val="fr-FR"/>
        </w:rPr>
        <w:t>52.</w:t>
      </w:r>
      <w:r>
        <w:rPr>
          <w:lang w:val="fr-FR"/>
        </w:rPr>
        <w:tab/>
      </w:r>
      <w:r>
        <w:rPr>
          <w:b/>
          <w:bCs/>
          <w:lang w:val="fr-FR"/>
        </w:rPr>
        <w:t>Le Comité recommande à l</w:t>
      </w:r>
      <w:r>
        <w:rPr>
          <w:b/>
          <w:bCs/>
          <w:lang w:val="fr-FR"/>
        </w:rPr>
        <w:t>’</w:t>
      </w:r>
      <w:r>
        <w:rPr>
          <w:b/>
          <w:bCs/>
          <w:lang w:val="fr-FR"/>
        </w:rPr>
        <w:t xml:space="preserve">État partie de prendre toutes les mesures voulues pour que les recommandations figurant dans les </w:t>
      </w:r>
      <w:r w:rsidRPr="00F6423D">
        <w:rPr>
          <w:b/>
          <w:bCs/>
          <w:lang w:val="fr-FR"/>
        </w:rPr>
        <w:t>présentes observations finales soient pleinement appliquées.</w:t>
      </w:r>
      <w:r w:rsidRPr="00F6423D">
        <w:rPr>
          <w:lang w:val="fr-FR"/>
        </w:rPr>
        <w:t xml:space="preserve"> </w:t>
      </w:r>
      <w:r w:rsidRPr="00F6423D">
        <w:rPr>
          <w:b/>
          <w:bCs/>
          <w:lang w:val="fr-FR"/>
        </w:rPr>
        <w:t>Il recommande également que le rapport valant sixième et septième rapport</w:t>
      </w:r>
      <w:r w:rsidR="00F6423D" w:rsidRPr="00F6423D">
        <w:rPr>
          <w:b/>
          <w:bCs/>
          <w:lang w:val="fr-FR"/>
        </w:rPr>
        <w:t>s</w:t>
      </w:r>
      <w:r w:rsidRPr="00F6423D">
        <w:rPr>
          <w:b/>
          <w:bCs/>
          <w:lang w:val="fr-FR"/>
        </w:rPr>
        <w:t xml:space="preserve"> périodiques et les présentes observations finales soient largement diffusés dans les langues du pays.</w:t>
      </w:r>
    </w:p>
    <w:p w14:paraId="73684F54" w14:textId="333DE9C1" w:rsidR="00050CF5" w:rsidRPr="00DC2178" w:rsidRDefault="00050CF5" w:rsidP="00050CF5">
      <w:pPr>
        <w:pStyle w:val="H1G"/>
        <w:rPr>
          <w:lang w:val="fr-FR"/>
        </w:rPr>
      </w:pPr>
      <w:r>
        <w:rPr>
          <w:lang w:val="fr-FR"/>
        </w:rPr>
        <w:tab/>
      </w:r>
      <w:r>
        <w:rPr>
          <w:lang w:val="fr-FR"/>
        </w:rPr>
        <w:t>B.</w:t>
      </w:r>
      <w:r>
        <w:rPr>
          <w:lang w:val="fr-FR"/>
        </w:rPr>
        <w:tab/>
      </w:r>
      <w:r>
        <w:rPr>
          <w:lang w:val="fr-FR"/>
        </w:rPr>
        <w:tab/>
        <w:t>Mécanisme national d</w:t>
      </w:r>
      <w:r>
        <w:rPr>
          <w:lang w:val="fr-FR"/>
        </w:rPr>
        <w:t>’</w:t>
      </w:r>
      <w:r>
        <w:rPr>
          <w:lang w:val="fr-FR"/>
        </w:rPr>
        <w:t>établissement des rapports et de suivi</w:t>
      </w:r>
    </w:p>
    <w:p w14:paraId="03B83C16" w14:textId="5EFF4CE0" w:rsidR="00050CF5" w:rsidRPr="00DC2178" w:rsidRDefault="00050CF5" w:rsidP="00050CF5">
      <w:pPr>
        <w:pStyle w:val="SingleTxtG"/>
        <w:rPr>
          <w:b/>
          <w:bCs/>
          <w:lang w:val="fr-FR"/>
        </w:rPr>
      </w:pPr>
      <w:r>
        <w:rPr>
          <w:lang w:val="fr-FR"/>
        </w:rPr>
        <w:t>53.</w:t>
      </w:r>
      <w:r>
        <w:rPr>
          <w:lang w:val="fr-FR"/>
        </w:rPr>
        <w:tab/>
      </w:r>
      <w:r>
        <w:rPr>
          <w:b/>
          <w:bCs/>
          <w:lang w:val="fr-FR"/>
        </w:rPr>
        <w:t>Le Comité recommande à l</w:t>
      </w:r>
      <w:r>
        <w:rPr>
          <w:b/>
          <w:bCs/>
          <w:lang w:val="fr-FR"/>
        </w:rPr>
        <w:t>’</w:t>
      </w:r>
      <w:r>
        <w:rPr>
          <w:b/>
          <w:bCs/>
          <w:lang w:val="fr-FR"/>
        </w:rPr>
        <w:t>État partie de renforcer sa structure permanente chargée de coordonner et d</w:t>
      </w:r>
      <w:r>
        <w:rPr>
          <w:b/>
          <w:bCs/>
          <w:lang w:val="fr-FR"/>
        </w:rPr>
        <w:t>’</w:t>
      </w:r>
      <w:r>
        <w:rPr>
          <w:b/>
          <w:bCs/>
          <w:lang w:val="fr-FR"/>
        </w:rPr>
        <w:t>élaborer les rapports devant être soumis aux mécanismes internationaux et régionaux des droits de l</w:t>
      </w:r>
      <w:r>
        <w:rPr>
          <w:b/>
          <w:bCs/>
          <w:lang w:val="fr-FR"/>
        </w:rPr>
        <w:t>’</w:t>
      </w:r>
      <w:r>
        <w:rPr>
          <w:b/>
          <w:bCs/>
          <w:lang w:val="fr-FR"/>
        </w:rPr>
        <w:t>homme et de nouer un dialogue avec ces mécanismes, et de coordonner et suivre l</w:t>
      </w:r>
      <w:r>
        <w:rPr>
          <w:b/>
          <w:bCs/>
          <w:lang w:val="fr-FR"/>
        </w:rPr>
        <w:t>’</w:t>
      </w:r>
      <w:r>
        <w:rPr>
          <w:b/>
          <w:bCs/>
          <w:lang w:val="fr-FR"/>
        </w:rPr>
        <w:t>exécution des obligations conventionnelles et l</w:t>
      </w:r>
      <w:r>
        <w:rPr>
          <w:b/>
          <w:bCs/>
          <w:lang w:val="fr-FR"/>
        </w:rPr>
        <w:t>’</w:t>
      </w:r>
      <w:r>
        <w:rPr>
          <w:b/>
          <w:bCs/>
          <w:lang w:val="fr-FR"/>
        </w:rPr>
        <w:t>application des recommandations et des décisions émanant desdits mécanismes.</w:t>
      </w:r>
      <w:r>
        <w:rPr>
          <w:lang w:val="fr-FR"/>
        </w:rPr>
        <w:t xml:space="preserve"> </w:t>
      </w:r>
      <w:r>
        <w:rPr>
          <w:b/>
          <w:bCs/>
          <w:lang w:val="fr-FR"/>
        </w:rPr>
        <w:t>Il souligne que cette structure devrait être appuyée de manière appropriée et en permanence par un personnel qui lui soit spécialement affecté et devrait être à même de consulter systématiquement la Commission nationale consultative des droits de l</w:t>
      </w:r>
      <w:r>
        <w:rPr>
          <w:b/>
          <w:bCs/>
          <w:lang w:val="fr-FR"/>
        </w:rPr>
        <w:t>’</w:t>
      </w:r>
      <w:r>
        <w:rPr>
          <w:b/>
          <w:bCs/>
          <w:lang w:val="fr-FR"/>
        </w:rPr>
        <w:t>homme et la société civile.</w:t>
      </w:r>
    </w:p>
    <w:p w14:paraId="4DE5C121" w14:textId="2D8B1226" w:rsidR="00050CF5" w:rsidRPr="00050CF5" w:rsidRDefault="00050CF5" w:rsidP="00050CF5">
      <w:pPr>
        <w:pStyle w:val="H1G"/>
      </w:pPr>
      <w:r>
        <w:rPr>
          <w:lang w:val="fr-FR"/>
        </w:rPr>
        <w:tab/>
      </w:r>
      <w:r>
        <w:rPr>
          <w:lang w:val="fr-FR"/>
        </w:rPr>
        <w:t>C.</w:t>
      </w:r>
      <w:r>
        <w:rPr>
          <w:lang w:val="fr-FR"/>
        </w:rPr>
        <w:tab/>
        <w:t>Prochain rapport</w:t>
      </w:r>
    </w:p>
    <w:p w14:paraId="71974C5D" w14:textId="16DBDC53" w:rsidR="00050CF5" w:rsidRDefault="00050CF5" w:rsidP="00050CF5">
      <w:pPr>
        <w:pStyle w:val="SingleTxtG"/>
        <w:rPr>
          <w:b/>
          <w:bCs/>
          <w:lang w:val="fr-FR"/>
        </w:rPr>
      </w:pPr>
      <w:r>
        <w:rPr>
          <w:lang w:val="fr-FR"/>
        </w:rPr>
        <w:t>54.</w:t>
      </w:r>
      <w:r>
        <w:rPr>
          <w:lang w:val="fr-FR"/>
        </w:rPr>
        <w:tab/>
      </w:r>
      <w:r>
        <w:rPr>
          <w:b/>
          <w:bCs/>
          <w:lang w:val="fr-FR"/>
        </w:rPr>
        <w:t>Le Comité communiquera à l</w:t>
      </w:r>
      <w:r>
        <w:rPr>
          <w:b/>
          <w:bCs/>
          <w:lang w:val="fr-FR"/>
        </w:rPr>
        <w:t>’</w:t>
      </w:r>
      <w:r>
        <w:rPr>
          <w:b/>
          <w:bCs/>
          <w:lang w:val="fr-FR"/>
        </w:rPr>
        <w:t>État partie la date qu</w:t>
      </w:r>
      <w:r>
        <w:rPr>
          <w:b/>
          <w:bCs/>
          <w:lang w:val="fr-FR"/>
        </w:rPr>
        <w:t>’</w:t>
      </w:r>
      <w:r>
        <w:rPr>
          <w:b/>
          <w:bCs/>
          <w:lang w:val="fr-FR"/>
        </w:rPr>
        <w:t>il aura fixée pour la soumission de son rapport valant huitième et neuvième rapports périodiques selon un calendrier prévisible de soumission de rapports établi sur la base d</w:t>
      </w:r>
      <w:r>
        <w:rPr>
          <w:b/>
          <w:bCs/>
          <w:lang w:val="fr-FR"/>
        </w:rPr>
        <w:t>’</w:t>
      </w:r>
      <w:r>
        <w:rPr>
          <w:b/>
          <w:bCs/>
          <w:lang w:val="fr-FR"/>
        </w:rPr>
        <w:t>un cycle d</w:t>
      </w:r>
      <w:r>
        <w:rPr>
          <w:b/>
          <w:bCs/>
          <w:lang w:val="fr-FR"/>
        </w:rPr>
        <w:t>’</w:t>
      </w:r>
      <w:r>
        <w:rPr>
          <w:b/>
          <w:bCs/>
          <w:lang w:val="fr-FR"/>
        </w:rPr>
        <w:t>examen de huit ans, et il adoptera, le cas échéant, une liste de points et de questions qui sera transmise à l</w:t>
      </w:r>
      <w:r>
        <w:rPr>
          <w:b/>
          <w:bCs/>
          <w:lang w:val="fr-FR"/>
        </w:rPr>
        <w:t>’</w:t>
      </w:r>
      <w:r>
        <w:rPr>
          <w:b/>
          <w:bCs/>
          <w:lang w:val="fr-FR"/>
        </w:rPr>
        <w:t>État partie avant la soumission du rapport.</w:t>
      </w:r>
      <w:r>
        <w:rPr>
          <w:lang w:val="fr-FR"/>
        </w:rPr>
        <w:t xml:space="preserve"> </w:t>
      </w:r>
      <w:r>
        <w:rPr>
          <w:b/>
          <w:bCs/>
          <w:lang w:val="fr-FR"/>
        </w:rPr>
        <w:t>Ce rapport devra être conforme aux directives spécifiques à l</w:t>
      </w:r>
      <w:r>
        <w:rPr>
          <w:b/>
          <w:bCs/>
          <w:lang w:val="fr-FR"/>
        </w:rPr>
        <w:t>’</w:t>
      </w:r>
      <w:r>
        <w:rPr>
          <w:b/>
          <w:bCs/>
          <w:lang w:val="fr-FR"/>
        </w:rPr>
        <w:t>instrument concernant l</w:t>
      </w:r>
      <w:r>
        <w:rPr>
          <w:b/>
          <w:bCs/>
          <w:lang w:val="fr-FR"/>
        </w:rPr>
        <w:t>’</w:t>
      </w:r>
      <w:r>
        <w:rPr>
          <w:b/>
          <w:bCs/>
          <w:lang w:val="fr-FR"/>
        </w:rPr>
        <w:t>établissement de rapports</w:t>
      </w:r>
      <w:r w:rsidRPr="00A02FBD">
        <w:rPr>
          <w:rStyle w:val="Appelnotedebasdep"/>
          <w:lang w:val="fr-FR"/>
        </w:rPr>
        <w:footnoteReference w:id="11"/>
      </w:r>
      <w:r>
        <w:rPr>
          <w:b/>
          <w:bCs/>
          <w:lang w:val="fr-FR"/>
        </w:rPr>
        <w:t xml:space="preserve"> et ne pas dépasser 21 200 mots</w:t>
      </w:r>
      <w:r w:rsidRPr="00A02FBD">
        <w:rPr>
          <w:rStyle w:val="Appelnotedebasdep"/>
          <w:lang w:val="fr-FR"/>
        </w:rPr>
        <w:footnoteReference w:id="12"/>
      </w:r>
      <w:r>
        <w:rPr>
          <w:b/>
          <w:bCs/>
          <w:lang w:val="fr-FR"/>
        </w:rPr>
        <w:t>.</w:t>
      </w:r>
      <w:r>
        <w:rPr>
          <w:lang w:val="fr-FR"/>
        </w:rPr>
        <w:t xml:space="preserve"> </w:t>
      </w:r>
      <w:r>
        <w:rPr>
          <w:b/>
          <w:bCs/>
          <w:lang w:val="fr-FR"/>
        </w:rPr>
        <w:t>Si l</w:t>
      </w:r>
      <w:r>
        <w:rPr>
          <w:b/>
          <w:bCs/>
          <w:lang w:val="fr-FR"/>
        </w:rPr>
        <w:t>’</w:t>
      </w:r>
      <w:r>
        <w:rPr>
          <w:b/>
          <w:bCs/>
          <w:lang w:val="fr-FR"/>
        </w:rPr>
        <w:t>État partie soumet un rapport dont le nombre de mots excède la limite fixée, il sera invité à en réduire la longueur.</w:t>
      </w:r>
      <w:r>
        <w:rPr>
          <w:lang w:val="fr-FR"/>
        </w:rPr>
        <w:t xml:space="preserve"> </w:t>
      </w:r>
      <w:r>
        <w:rPr>
          <w:b/>
          <w:bCs/>
          <w:lang w:val="fr-FR"/>
        </w:rPr>
        <w:t>S</w:t>
      </w:r>
      <w:r>
        <w:rPr>
          <w:b/>
          <w:bCs/>
          <w:lang w:val="fr-FR"/>
        </w:rPr>
        <w:t>’</w:t>
      </w:r>
      <w:r>
        <w:rPr>
          <w:b/>
          <w:bCs/>
          <w:lang w:val="fr-FR"/>
        </w:rPr>
        <w:t>il n</w:t>
      </w:r>
      <w:r>
        <w:rPr>
          <w:b/>
          <w:bCs/>
          <w:lang w:val="fr-FR"/>
        </w:rPr>
        <w:t>’</w:t>
      </w:r>
      <w:r>
        <w:rPr>
          <w:b/>
          <w:bCs/>
          <w:lang w:val="fr-FR"/>
        </w:rPr>
        <w:t>est pas en mesure de remanier son rapport et de le soumettre à nouveau, la traduction de ce rapport aux fins d</w:t>
      </w:r>
      <w:r>
        <w:rPr>
          <w:b/>
          <w:bCs/>
          <w:lang w:val="fr-FR"/>
        </w:rPr>
        <w:t>’</w:t>
      </w:r>
      <w:r>
        <w:rPr>
          <w:b/>
          <w:bCs/>
          <w:lang w:val="fr-FR"/>
        </w:rPr>
        <w:t>examen par le Comité ne pourra pas être garantie.</w:t>
      </w:r>
    </w:p>
    <w:p w14:paraId="081B2253" w14:textId="0BA00C8F" w:rsidR="00050CF5" w:rsidRPr="00050CF5" w:rsidRDefault="00050CF5" w:rsidP="00050CF5">
      <w:pPr>
        <w:pStyle w:val="SingleTxtG"/>
        <w:spacing w:before="240" w:after="0"/>
        <w:jc w:val="center"/>
        <w:rPr>
          <w:u w:val="single"/>
          <w:lang w:val="fr-FR"/>
        </w:rPr>
      </w:pPr>
      <w:r>
        <w:rPr>
          <w:u w:val="single"/>
          <w:lang w:val="fr-FR"/>
        </w:rPr>
        <w:tab/>
      </w:r>
      <w:r>
        <w:rPr>
          <w:u w:val="single"/>
          <w:lang w:val="fr-FR"/>
        </w:rPr>
        <w:tab/>
      </w:r>
      <w:r>
        <w:rPr>
          <w:u w:val="single"/>
          <w:lang w:val="fr-FR"/>
        </w:rPr>
        <w:tab/>
      </w:r>
    </w:p>
    <w:sectPr w:rsidR="00050CF5" w:rsidRPr="00050CF5" w:rsidSect="00A27B97">
      <w:headerReference w:type="even" r:id="rId9"/>
      <w:headerReference w:type="default" r:id="rId10"/>
      <w:footerReference w:type="even" r:id="rId11"/>
      <w:footerReference w:type="default" r:id="rId12"/>
      <w:footerReference w:type="first" r:id="rId13"/>
      <w:endnotePr>
        <w:numFmt w:val="decimal"/>
      </w:endnotePr>
      <w:pgSz w:w="11906" w:h="16838" w:code="9"/>
      <w:pgMar w:top="1417" w:right="1134" w:bottom="1134" w:left="1134" w:header="850"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EE358" w14:textId="77777777" w:rsidR="00C4337B" w:rsidRDefault="00C4337B" w:rsidP="00F95C08">
      <w:pPr>
        <w:spacing w:line="240" w:lineRule="auto"/>
      </w:pPr>
    </w:p>
  </w:endnote>
  <w:endnote w:type="continuationSeparator" w:id="0">
    <w:p w14:paraId="1BB95E4E" w14:textId="77777777" w:rsidR="00C4337B" w:rsidRPr="00AC3823" w:rsidRDefault="00C4337B" w:rsidP="00AC3823">
      <w:pPr>
        <w:pStyle w:val="Pieddepage"/>
      </w:pPr>
    </w:p>
  </w:endnote>
  <w:endnote w:type="continuationNotice" w:id="1">
    <w:p w14:paraId="535A1A58" w14:textId="77777777" w:rsidR="00C4337B" w:rsidRDefault="00C4337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1D612" w14:textId="3D199279" w:rsidR="00A27B97" w:rsidRPr="00A27B97" w:rsidRDefault="00A27B97" w:rsidP="00A27B97">
    <w:pPr>
      <w:pStyle w:val="Pieddepage"/>
      <w:tabs>
        <w:tab w:val="right" w:pos="9638"/>
      </w:tabs>
    </w:pPr>
    <w:r w:rsidRPr="00A27B97">
      <w:rPr>
        <w:b/>
        <w:sz w:val="18"/>
      </w:rPr>
      <w:fldChar w:fldCharType="begin"/>
    </w:r>
    <w:r w:rsidRPr="00A27B97">
      <w:rPr>
        <w:b/>
        <w:sz w:val="18"/>
      </w:rPr>
      <w:instrText xml:space="preserve"> PAGE  \* MERGEFORMAT </w:instrText>
    </w:r>
    <w:r w:rsidRPr="00A27B97">
      <w:rPr>
        <w:b/>
        <w:sz w:val="18"/>
      </w:rPr>
      <w:fldChar w:fldCharType="separate"/>
    </w:r>
    <w:r w:rsidRPr="00A27B97">
      <w:rPr>
        <w:b/>
        <w:noProof/>
        <w:sz w:val="18"/>
      </w:rPr>
      <w:t>2</w:t>
    </w:r>
    <w:r w:rsidRPr="00A27B97">
      <w:rPr>
        <w:b/>
        <w:sz w:val="18"/>
      </w:rPr>
      <w:fldChar w:fldCharType="end"/>
    </w:r>
    <w:r>
      <w:rPr>
        <w:b/>
        <w:sz w:val="18"/>
      </w:rPr>
      <w:tab/>
    </w:r>
    <w:r>
      <w:t>GE.23-10523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34394" w14:textId="2DC8C1E7" w:rsidR="00A27B97" w:rsidRPr="00A27B97" w:rsidRDefault="00A27B97" w:rsidP="00A27B97">
    <w:pPr>
      <w:pStyle w:val="Pieddepage"/>
      <w:tabs>
        <w:tab w:val="right" w:pos="9638"/>
      </w:tabs>
      <w:rPr>
        <w:b/>
        <w:sz w:val="18"/>
      </w:rPr>
    </w:pPr>
    <w:r>
      <w:t>GE.23-10523</w:t>
    </w:r>
    <w:r>
      <w:tab/>
    </w:r>
    <w:r w:rsidRPr="00A27B97">
      <w:rPr>
        <w:b/>
        <w:sz w:val="18"/>
      </w:rPr>
      <w:fldChar w:fldCharType="begin"/>
    </w:r>
    <w:r w:rsidRPr="00A27B97">
      <w:rPr>
        <w:b/>
        <w:sz w:val="18"/>
      </w:rPr>
      <w:instrText xml:space="preserve"> PAGE  \* MERGEFORMAT </w:instrText>
    </w:r>
    <w:r w:rsidRPr="00A27B97">
      <w:rPr>
        <w:b/>
        <w:sz w:val="18"/>
      </w:rPr>
      <w:fldChar w:fldCharType="separate"/>
    </w:r>
    <w:r w:rsidRPr="00A27B97">
      <w:rPr>
        <w:b/>
        <w:noProof/>
        <w:sz w:val="18"/>
      </w:rPr>
      <w:t>3</w:t>
    </w:r>
    <w:r w:rsidRPr="00A27B97">
      <w:rPr>
        <w:b/>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88908" w14:textId="79C86CD5" w:rsidR="002D14A3" w:rsidRPr="00A27B97" w:rsidRDefault="00A27B97" w:rsidP="00A27B97">
    <w:pPr>
      <w:pStyle w:val="Pieddepage"/>
      <w:spacing w:before="120"/>
      <w:rPr>
        <w:sz w:val="20"/>
      </w:rPr>
    </w:pPr>
    <w:r>
      <w:rPr>
        <w:sz w:val="20"/>
      </w:rPr>
      <w:t>GE.</w:t>
    </w:r>
    <w:r w:rsidR="002D14A3">
      <w:rPr>
        <w:noProof/>
        <w:lang w:eastAsia="fr-CH"/>
      </w:rPr>
      <w:drawing>
        <wp:anchor distT="0" distB="0" distL="114300" distR="114300" simplePos="0" relativeHeight="251659264" behindDoc="0" locked="0" layoutInCell="1" allowOverlap="0" wp14:anchorId="0B8646FC" wp14:editId="37099BA2">
          <wp:simplePos x="0" y="0"/>
          <wp:positionH relativeFrom="margin">
            <wp:posOffset>4319905</wp:posOffset>
          </wp:positionH>
          <wp:positionV relativeFrom="margin">
            <wp:posOffset>9144000</wp:posOffset>
          </wp:positionV>
          <wp:extent cx="1105200" cy="234000"/>
          <wp:effectExtent l="0" t="0" r="0" b="0"/>
          <wp:wrapNone/>
          <wp:docPr id="2" name="Image 2" descr="recycle_Fre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cycle_Fre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5200" cy="23400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23-10523  (F)</w:t>
    </w:r>
    <w:r>
      <w:rPr>
        <w:noProof/>
        <w:sz w:val="20"/>
      </w:rPr>
      <w:drawing>
        <wp:anchor distT="0" distB="0" distL="114300" distR="114300" simplePos="0" relativeHeight="251660288" behindDoc="0" locked="0" layoutInCell="1" allowOverlap="1" wp14:anchorId="28A532AC" wp14:editId="775043DA">
          <wp:simplePos x="0" y="0"/>
          <wp:positionH relativeFrom="margin">
            <wp:posOffset>5489575</wp:posOffset>
          </wp:positionH>
          <wp:positionV relativeFrom="margin">
            <wp:posOffset>8891905</wp:posOffset>
          </wp:positionV>
          <wp:extent cx="561975" cy="561975"/>
          <wp:effectExtent l="0" t="0" r="9525" b="9525"/>
          <wp:wrapNone/>
          <wp:docPr id="84176142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0"/>
      </w:rPr>
      <w:t xml:space="preserve">    030124    040124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474EA" w14:textId="77777777" w:rsidR="00C4337B" w:rsidRPr="00AC3823" w:rsidRDefault="00C4337B" w:rsidP="00AC3823">
      <w:pPr>
        <w:pStyle w:val="Pieddepage"/>
        <w:tabs>
          <w:tab w:val="right" w:pos="2155"/>
        </w:tabs>
        <w:spacing w:after="80" w:line="240" w:lineRule="atLeast"/>
        <w:ind w:left="680"/>
        <w:rPr>
          <w:u w:val="single"/>
        </w:rPr>
      </w:pPr>
      <w:r>
        <w:rPr>
          <w:u w:val="single"/>
        </w:rPr>
        <w:tab/>
      </w:r>
    </w:p>
  </w:footnote>
  <w:footnote w:type="continuationSeparator" w:id="0">
    <w:p w14:paraId="7AC1C28B" w14:textId="77777777" w:rsidR="00C4337B" w:rsidRPr="00AC3823" w:rsidRDefault="00C4337B" w:rsidP="00AC3823">
      <w:pPr>
        <w:pStyle w:val="Pieddepage"/>
        <w:tabs>
          <w:tab w:val="right" w:pos="2155"/>
        </w:tabs>
        <w:spacing w:after="80" w:line="240" w:lineRule="atLeast"/>
        <w:ind w:left="680"/>
        <w:rPr>
          <w:u w:val="single"/>
        </w:rPr>
      </w:pPr>
      <w:r>
        <w:rPr>
          <w:u w:val="single"/>
        </w:rPr>
        <w:tab/>
      </w:r>
    </w:p>
  </w:footnote>
  <w:footnote w:type="continuationNotice" w:id="1">
    <w:p w14:paraId="26A42D9A" w14:textId="77777777" w:rsidR="00C4337B" w:rsidRPr="00AC3823" w:rsidRDefault="00C4337B">
      <w:pPr>
        <w:spacing w:line="240" w:lineRule="auto"/>
        <w:rPr>
          <w:sz w:val="2"/>
          <w:szCs w:val="2"/>
        </w:rPr>
      </w:pPr>
    </w:p>
  </w:footnote>
  <w:footnote w:id="2">
    <w:p w14:paraId="4208DDAF" w14:textId="77777777" w:rsidR="00050CF5" w:rsidRPr="00DC2178" w:rsidRDefault="00050CF5" w:rsidP="00050CF5">
      <w:pPr>
        <w:pStyle w:val="Notedebasdepage"/>
        <w:rPr>
          <w:lang w:val="fr-FR"/>
        </w:rPr>
      </w:pPr>
      <w:r>
        <w:rPr>
          <w:lang w:val="fr-FR"/>
        </w:rPr>
        <w:tab/>
      </w:r>
      <w:r w:rsidRPr="00050CF5">
        <w:rPr>
          <w:sz w:val="20"/>
          <w:lang w:val="fr-FR"/>
        </w:rPr>
        <w:t>*</w:t>
      </w:r>
      <w:r>
        <w:rPr>
          <w:lang w:val="fr-FR"/>
        </w:rPr>
        <w:tab/>
        <w:t>Adoptées par le Comité à sa quatre-vingt-treizième session (8-26 mai 2023).</w:t>
      </w:r>
    </w:p>
  </w:footnote>
  <w:footnote w:id="3">
    <w:p w14:paraId="5B0BD12E" w14:textId="361AEAEA" w:rsidR="00050CF5" w:rsidRPr="00DC2178" w:rsidRDefault="00050CF5" w:rsidP="00050CF5">
      <w:pPr>
        <w:pStyle w:val="Notedebasdepage"/>
        <w:rPr>
          <w:lang w:val="fr-FR"/>
        </w:rPr>
      </w:pPr>
      <w:r>
        <w:rPr>
          <w:lang w:val="fr-FR"/>
        </w:rPr>
        <w:tab/>
      </w:r>
      <w:r w:rsidRPr="00050CF5">
        <w:rPr>
          <w:rStyle w:val="Appelnotedebasdep"/>
        </w:rPr>
        <w:footnoteRef/>
      </w:r>
      <w:r>
        <w:rPr>
          <w:lang w:val="fr-FR"/>
        </w:rPr>
        <w:tab/>
      </w:r>
      <w:hyperlink r:id="rId1" w:history="1">
        <w:r w:rsidR="00774D1E">
          <w:rPr>
            <w:rStyle w:val="Lienhypertexte"/>
            <w:lang w:val="fr-FR"/>
          </w:rPr>
          <w:t>CRC/C/FRA/6-7</w:t>
        </w:r>
      </w:hyperlink>
      <w:r>
        <w:rPr>
          <w:lang w:val="fr-FR"/>
        </w:rPr>
        <w:t>.</w:t>
      </w:r>
    </w:p>
  </w:footnote>
  <w:footnote w:id="4">
    <w:p w14:paraId="6F64B8F6" w14:textId="04947693" w:rsidR="00050CF5" w:rsidRPr="00DC2178" w:rsidRDefault="00050CF5" w:rsidP="00050CF5">
      <w:pPr>
        <w:pStyle w:val="Notedebasdepage"/>
        <w:rPr>
          <w:lang w:val="fr-FR"/>
        </w:rPr>
      </w:pPr>
      <w:r>
        <w:rPr>
          <w:lang w:val="fr-FR"/>
        </w:rPr>
        <w:tab/>
      </w:r>
      <w:r w:rsidRPr="00050CF5">
        <w:rPr>
          <w:rStyle w:val="Appelnotedebasdep"/>
        </w:rPr>
        <w:footnoteRef/>
      </w:r>
      <w:r>
        <w:rPr>
          <w:lang w:val="fr-FR"/>
        </w:rPr>
        <w:tab/>
        <w:t xml:space="preserve">Voir </w:t>
      </w:r>
      <w:hyperlink r:id="rId2" w:history="1">
        <w:r w:rsidR="00774D1E">
          <w:rPr>
            <w:rStyle w:val="Lienhypertexte"/>
            <w:lang w:val="fr-FR"/>
          </w:rPr>
          <w:t>CRC/C/SR.2702</w:t>
        </w:r>
      </w:hyperlink>
      <w:r>
        <w:rPr>
          <w:lang w:val="fr-FR"/>
        </w:rPr>
        <w:t xml:space="preserve"> et </w:t>
      </w:r>
      <w:hyperlink r:id="rId3" w:history="1">
        <w:r w:rsidR="00774D1E">
          <w:rPr>
            <w:rStyle w:val="Lienhypertexte"/>
            <w:lang w:val="fr-FR"/>
          </w:rPr>
          <w:t>CRC/C/SR.2703</w:t>
        </w:r>
      </w:hyperlink>
      <w:r>
        <w:rPr>
          <w:lang w:val="fr-FR"/>
        </w:rPr>
        <w:t>.</w:t>
      </w:r>
    </w:p>
  </w:footnote>
  <w:footnote w:id="5">
    <w:p w14:paraId="0618B1C1" w14:textId="0A37D887" w:rsidR="00050CF5" w:rsidRPr="00DC2178" w:rsidRDefault="00050CF5" w:rsidP="00050CF5">
      <w:pPr>
        <w:pStyle w:val="Notedebasdepage"/>
        <w:rPr>
          <w:lang w:val="fr-FR"/>
        </w:rPr>
      </w:pPr>
      <w:r>
        <w:rPr>
          <w:lang w:val="fr-FR"/>
        </w:rPr>
        <w:tab/>
      </w:r>
      <w:r w:rsidRPr="00050CF5">
        <w:rPr>
          <w:rStyle w:val="Appelnotedebasdep"/>
        </w:rPr>
        <w:footnoteRef/>
      </w:r>
      <w:r>
        <w:rPr>
          <w:lang w:val="fr-FR"/>
        </w:rPr>
        <w:tab/>
      </w:r>
      <w:hyperlink r:id="rId4" w:history="1">
        <w:r w:rsidR="00774D1E">
          <w:rPr>
            <w:rStyle w:val="Lienhypertexte"/>
            <w:lang w:val="fr-FR"/>
          </w:rPr>
          <w:t>CRC/C/FRA/CO/5</w:t>
        </w:r>
      </w:hyperlink>
      <w:r>
        <w:rPr>
          <w:lang w:val="fr-FR"/>
        </w:rPr>
        <w:t>, par. 6.</w:t>
      </w:r>
    </w:p>
  </w:footnote>
  <w:footnote w:id="6">
    <w:p w14:paraId="7C67DA4E" w14:textId="77777777" w:rsidR="00050CF5" w:rsidRPr="00DC2178" w:rsidRDefault="00050CF5" w:rsidP="00050CF5">
      <w:pPr>
        <w:pStyle w:val="Notedebasdepage"/>
        <w:rPr>
          <w:lang w:val="fr-FR"/>
        </w:rPr>
      </w:pPr>
      <w:r w:rsidRPr="000C76E4">
        <w:rPr>
          <w:lang w:val="fr-FR"/>
        </w:rPr>
        <w:tab/>
      </w:r>
      <w:r w:rsidRPr="00050CF5">
        <w:rPr>
          <w:rStyle w:val="Appelnotedebasdep"/>
        </w:rPr>
        <w:footnoteRef/>
      </w:r>
      <w:r>
        <w:rPr>
          <w:lang w:val="fr-FR"/>
        </w:rPr>
        <w:tab/>
        <w:t>Ibid., par. 20.</w:t>
      </w:r>
    </w:p>
  </w:footnote>
  <w:footnote w:id="7">
    <w:p w14:paraId="372ECE15" w14:textId="77777777" w:rsidR="00050CF5" w:rsidRPr="00DC2178" w:rsidRDefault="00050CF5" w:rsidP="00050CF5">
      <w:pPr>
        <w:pStyle w:val="Notedebasdepage"/>
        <w:rPr>
          <w:lang w:val="fr-FR"/>
        </w:rPr>
      </w:pPr>
      <w:r w:rsidRPr="00005D28">
        <w:rPr>
          <w:lang w:val="fr-FR"/>
        </w:rPr>
        <w:tab/>
      </w:r>
      <w:r w:rsidRPr="00050CF5">
        <w:rPr>
          <w:rStyle w:val="Appelnotedebasdep"/>
        </w:rPr>
        <w:footnoteRef/>
      </w:r>
      <w:r>
        <w:rPr>
          <w:lang w:val="fr-FR"/>
        </w:rPr>
        <w:tab/>
        <w:t>Ibid., par. 24.</w:t>
      </w:r>
    </w:p>
  </w:footnote>
  <w:footnote w:id="8">
    <w:p w14:paraId="19A4DD43" w14:textId="77777777" w:rsidR="00050CF5" w:rsidRPr="00DC2178" w:rsidRDefault="00050CF5" w:rsidP="00050CF5">
      <w:pPr>
        <w:pStyle w:val="Notedebasdepage"/>
        <w:rPr>
          <w:lang w:val="fr-FR"/>
        </w:rPr>
      </w:pPr>
      <w:r w:rsidRPr="000C76E4">
        <w:rPr>
          <w:lang w:val="fr-FR"/>
        </w:rPr>
        <w:tab/>
      </w:r>
      <w:r w:rsidRPr="00050CF5">
        <w:rPr>
          <w:rStyle w:val="Appelnotedebasdep"/>
        </w:rPr>
        <w:footnoteRef/>
      </w:r>
      <w:r>
        <w:rPr>
          <w:lang w:val="fr-FR"/>
        </w:rPr>
        <w:tab/>
        <w:t>Ibid., par. 26.</w:t>
      </w:r>
    </w:p>
  </w:footnote>
  <w:footnote w:id="9">
    <w:p w14:paraId="64C920D0" w14:textId="77777777" w:rsidR="00050CF5" w:rsidRPr="00DC2178" w:rsidRDefault="00050CF5" w:rsidP="00050CF5">
      <w:pPr>
        <w:pStyle w:val="Notedebasdepage"/>
        <w:rPr>
          <w:lang w:val="fr-FR"/>
        </w:rPr>
      </w:pPr>
      <w:r>
        <w:rPr>
          <w:lang w:val="fr-FR"/>
        </w:rPr>
        <w:tab/>
      </w:r>
      <w:r w:rsidRPr="00050CF5">
        <w:rPr>
          <w:rStyle w:val="Appelnotedebasdep"/>
        </w:rPr>
        <w:footnoteRef/>
      </w:r>
      <w:r>
        <w:rPr>
          <w:lang w:val="fr-FR"/>
        </w:rPr>
        <w:tab/>
        <w:t>Résolution 64/142 de l’Assemblée générale, annexe.</w:t>
      </w:r>
    </w:p>
  </w:footnote>
  <w:footnote w:id="10">
    <w:p w14:paraId="12FCC4BA" w14:textId="497CDF29" w:rsidR="00050CF5" w:rsidRPr="00050CF5" w:rsidRDefault="00050CF5" w:rsidP="00050CF5">
      <w:pPr>
        <w:pStyle w:val="Notedebasdepage"/>
        <w:rPr>
          <w:lang w:val="en-US"/>
        </w:rPr>
      </w:pPr>
      <w:r w:rsidRPr="000C76E4">
        <w:rPr>
          <w:lang w:val="fr-FR"/>
        </w:rPr>
        <w:tab/>
      </w:r>
      <w:r w:rsidRPr="00050CF5">
        <w:rPr>
          <w:rStyle w:val="Appelnotedebasdep"/>
        </w:rPr>
        <w:footnoteRef/>
      </w:r>
      <w:r w:rsidRPr="00DC2178">
        <w:rPr>
          <w:lang w:val="en-US"/>
        </w:rPr>
        <w:tab/>
      </w:r>
      <w:hyperlink r:id="rId5" w:history="1">
        <w:r w:rsidR="00774D1E">
          <w:rPr>
            <w:rStyle w:val="Lienhypertexte"/>
            <w:lang w:val="en-US"/>
          </w:rPr>
          <w:t>CRC/C/156</w:t>
        </w:r>
      </w:hyperlink>
      <w:r w:rsidRPr="00DC2178">
        <w:rPr>
          <w:lang w:val="en-US"/>
        </w:rPr>
        <w:t>.</w:t>
      </w:r>
    </w:p>
  </w:footnote>
  <w:footnote w:id="11">
    <w:p w14:paraId="0613BC09" w14:textId="55AFFB71" w:rsidR="00050CF5" w:rsidRPr="00050CF5" w:rsidRDefault="00050CF5" w:rsidP="00050CF5">
      <w:pPr>
        <w:pStyle w:val="Notedebasdepage"/>
        <w:rPr>
          <w:lang w:val="en-US"/>
        </w:rPr>
      </w:pPr>
      <w:r w:rsidRPr="00DC2178">
        <w:rPr>
          <w:lang w:val="en-US"/>
        </w:rPr>
        <w:tab/>
      </w:r>
      <w:r w:rsidRPr="00050CF5">
        <w:rPr>
          <w:rStyle w:val="Appelnotedebasdep"/>
        </w:rPr>
        <w:footnoteRef/>
      </w:r>
      <w:r w:rsidRPr="00DC2178">
        <w:rPr>
          <w:lang w:val="en-US"/>
        </w:rPr>
        <w:tab/>
      </w:r>
      <w:hyperlink r:id="rId6" w:history="1">
        <w:r w:rsidR="00774D1E">
          <w:rPr>
            <w:rStyle w:val="Lienhypertexte"/>
            <w:lang w:val="en-US"/>
          </w:rPr>
          <w:t>CRC/C/58/Rev.3</w:t>
        </w:r>
      </w:hyperlink>
      <w:r w:rsidRPr="00DC2178">
        <w:rPr>
          <w:lang w:val="en-US"/>
        </w:rPr>
        <w:t>.</w:t>
      </w:r>
    </w:p>
  </w:footnote>
  <w:footnote w:id="12">
    <w:p w14:paraId="3E215C0B" w14:textId="77777777" w:rsidR="00050CF5" w:rsidRPr="00DC2178" w:rsidRDefault="00050CF5" w:rsidP="00050CF5">
      <w:pPr>
        <w:pStyle w:val="Notedebasdepage"/>
        <w:rPr>
          <w:lang w:val="fr-FR"/>
        </w:rPr>
      </w:pPr>
      <w:r w:rsidRPr="00DC2178">
        <w:rPr>
          <w:lang w:val="en-US"/>
        </w:rPr>
        <w:tab/>
      </w:r>
      <w:r w:rsidRPr="00050CF5">
        <w:rPr>
          <w:rStyle w:val="Appelnotedebasdep"/>
        </w:rPr>
        <w:footnoteRef/>
      </w:r>
      <w:r>
        <w:rPr>
          <w:lang w:val="fr-FR"/>
        </w:rPr>
        <w:tab/>
        <w:t>Résolution 68/268 de l’Assemblée générale, par. 16.</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49BCE" w14:textId="30042204" w:rsidR="00A27B97" w:rsidRPr="00A27B97" w:rsidRDefault="00A27B97">
    <w:pPr>
      <w:pStyle w:val="En-tte"/>
    </w:pPr>
    <w:fldSimple w:instr=" TITLE  \* MERGEFORMAT ">
      <w:r>
        <w:t>CRC/C/FRA/CO/6-7</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B61E5" w14:textId="4F96D225" w:rsidR="00A27B97" w:rsidRPr="00A27B97" w:rsidRDefault="00A27B97" w:rsidP="00A27B97">
    <w:pPr>
      <w:pStyle w:val="En-tte"/>
      <w:jc w:val="right"/>
    </w:pPr>
    <w:fldSimple w:instr=" TITLE  \* MERGEFORMAT ">
      <w:r>
        <w:t>CRC/C/FRA/CO/6-7</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34EEA8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B0844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D50032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44CBCB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4A6243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F9AED4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A9AA68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1AE61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45C69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B0402C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CD027D1"/>
    <w:multiLevelType w:val="hybridMultilevel"/>
    <w:tmpl w:val="DAC070BC"/>
    <w:lvl w:ilvl="0" w:tplc="FF5884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D954887"/>
    <w:multiLevelType w:val="hybridMultilevel"/>
    <w:tmpl w:val="C366D8F6"/>
    <w:lvl w:ilvl="0" w:tplc="F560206C">
      <w:start w:val="1"/>
      <w:numFmt w:val="decimal"/>
      <w:pStyle w:val="ParNoG"/>
      <w:lvlText w:val="%1."/>
      <w:lvlJc w:val="left"/>
      <w:pPr>
        <w:tabs>
          <w:tab w:val="num" w:pos="1701"/>
        </w:tabs>
        <w:ind w:left="1134" w:firstLine="0"/>
      </w:pPr>
      <w:rPr>
        <w:rFonts w:ascii="Times New Roman" w:hAnsi="Times New Roman" w:hint="default"/>
        <w:b w:val="0"/>
        <w:i w:val="0"/>
        <w:sz w:val="20"/>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3" w15:restartNumberingAfterBreak="0">
    <w:nsid w:val="0E2315C6"/>
    <w:multiLevelType w:val="hybridMultilevel"/>
    <w:tmpl w:val="27900814"/>
    <w:lvl w:ilvl="0" w:tplc="3CC23D90">
      <w:start w:val="1"/>
      <w:numFmt w:val="upperRoman"/>
      <w:lvlText w:val="%1."/>
      <w:lvlJc w:val="left"/>
      <w:pPr>
        <w:ind w:left="1392" w:hanging="720"/>
      </w:pPr>
      <w:rPr>
        <w:rFonts w:hint="default"/>
      </w:rPr>
    </w:lvl>
    <w:lvl w:ilvl="1" w:tplc="04090019" w:tentative="1">
      <w:start w:val="1"/>
      <w:numFmt w:val="lowerLetter"/>
      <w:lvlText w:val="%2."/>
      <w:lvlJc w:val="left"/>
      <w:pPr>
        <w:ind w:left="1752" w:hanging="360"/>
      </w:pPr>
    </w:lvl>
    <w:lvl w:ilvl="2" w:tplc="0409001B" w:tentative="1">
      <w:start w:val="1"/>
      <w:numFmt w:val="lowerRoman"/>
      <w:lvlText w:val="%3."/>
      <w:lvlJc w:val="right"/>
      <w:pPr>
        <w:ind w:left="2472" w:hanging="180"/>
      </w:pPr>
    </w:lvl>
    <w:lvl w:ilvl="3" w:tplc="0409000F" w:tentative="1">
      <w:start w:val="1"/>
      <w:numFmt w:val="decimal"/>
      <w:lvlText w:val="%4."/>
      <w:lvlJc w:val="left"/>
      <w:pPr>
        <w:ind w:left="3192" w:hanging="360"/>
      </w:pPr>
    </w:lvl>
    <w:lvl w:ilvl="4" w:tplc="04090019" w:tentative="1">
      <w:start w:val="1"/>
      <w:numFmt w:val="lowerLetter"/>
      <w:lvlText w:val="%5."/>
      <w:lvlJc w:val="left"/>
      <w:pPr>
        <w:ind w:left="3912" w:hanging="360"/>
      </w:pPr>
    </w:lvl>
    <w:lvl w:ilvl="5" w:tplc="0409001B" w:tentative="1">
      <w:start w:val="1"/>
      <w:numFmt w:val="lowerRoman"/>
      <w:lvlText w:val="%6."/>
      <w:lvlJc w:val="right"/>
      <w:pPr>
        <w:ind w:left="4632" w:hanging="180"/>
      </w:pPr>
    </w:lvl>
    <w:lvl w:ilvl="6" w:tplc="0409000F" w:tentative="1">
      <w:start w:val="1"/>
      <w:numFmt w:val="decimal"/>
      <w:lvlText w:val="%7."/>
      <w:lvlJc w:val="left"/>
      <w:pPr>
        <w:ind w:left="5352" w:hanging="360"/>
      </w:pPr>
    </w:lvl>
    <w:lvl w:ilvl="7" w:tplc="04090019" w:tentative="1">
      <w:start w:val="1"/>
      <w:numFmt w:val="lowerLetter"/>
      <w:lvlText w:val="%8."/>
      <w:lvlJc w:val="left"/>
      <w:pPr>
        <w:ind w:left="6072" w:hanging="360"/>
      </w:pPr>
    </w:lvl>
    <w:lvl w:ilvl="8" w:tplc="0409001B" w:tentative="1">
      <w:start w:val="1"/>
      <w:numFmt w:val="lowerRoman"/>
      <w:lvlText w:val="%9."/>
      <w:lvlJc w:val="right"/>
      <w:pPr>
        <w:ind w:left="6792" w:hanging="180"/>
      </w:pPr>
    </w:lvl>
  </w:abstractNum>
  <w:abstractNum w:abstractNumId="14" w15:restartNumberingAfterBreak="0">
    <w:nsid w:val="159532E1"/>
    <w:multiLevelType w:val="hybridMultilevel"/>
    <w:tmpl w:val="50AEA0A4"/>
    <w:lvl w:ilvl="0" w:tplc="555CFEAA">
      <w:start w:val="1"/>
      <w:numFmt w:val="upperRoman"/>
      <w:lvlText w:val="%1."/>
      <w:lvlJc w:val="left"/>
      <w:pPr>
        <w:ind w:left="1212" w:hanging="85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63A6E8D"/>
    <w:multiLevelType w:val="hybridMultilevel"/>
    <w:tmpl w:val="526451EC"/>
    <w:lvl w:ilvl="0" w:tplc="9AE49A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BAC13DB"/>
    <w:multiLevelType w:val="hybridMultilevel"/>
    <w:tmpl w:val="89145118"/>
    <w:lvl w:ilvl="0" w:tplc="0F6036D8">
      <w:start w:val="1"/>
      <w:numFmt w:val="upperRoman"/>
      <w:lvlText w:val="%1."/>
      <w:lvlJc w:val="left"/>
      <w:pPr>
        <w:ind w:left="1854" w:hanging="72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8"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2813133"/>
    <w:multiLevelType w:val="hybridMultilevel"/>
    <w:tmpl w:val="3DF0B32E"/>
    <w:lvl w:ilvl="0" w:tplc="079A0BA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512304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1" w15:restartNumberingAfterBreak="0">
    <w:nsid w:val="3ACF4EB2"/>
    <w:multiLevelType w:val="hybridMultilevel"/>
    <w:tmpl w:val="95E4D6EC"/>
    <w:lvl w:ilvl="0" w:tplc="78607ACC">
      <w:start w:val="1"/>
      <w:numFmt w:val="bullet"/>
      <w:pStyle w:val="Bullet2G"/>
      <w:lvlText w:val="•"/>
      <w:lvlJc w:val="left"/>
      <w:pPr>
        <w:tabs>
          <w:tab w:val="num" w:pos="2268"/>
        </w:tabs>
        <w:ind w:left="2268" w:hanging="170"/>
      </w:pPr>
      <w:rPr>
        <w:rFonts w:ascii="Times New Roman" w:hAnsi="Times New Roman" w:cs="Times New Roman" w:hint="default"/>
      </w:rPr>
    </w:lvl>
    <w:lvl w:ilvl="1" w:tplc="040C0003" w:tentative="1">
      <w:start w:val="1"/>
      <w:numFmt w:val="bullet"/>
      <w:lvlText w:val="o"/>
      <w:lvlJc w:val="left"/>
      <w:pPr>
        <w:tabs>
          <w:tab w:val="num" w:pos="3708"/>
        </w:tabs>
        <w:ind w:left="3708" w:hanging="360"/>
      </w:pPr>
      <w:rPr>
        <w:rFonts w:ascii="Courier New" w:hAnsi="Courier New" w:hint="default"/>
      </w:rPr>
    </w:lvl>
    <w:lvl w:ilvl="2" w:tplc="040C0005" w:tentative="1">
      <w:start w:val="1"/>
      <w:numFmt w:val="bullet"/>
      <w:lvlText w:val=""/>
      <w:lvlJc w:val="left"/>
      <w:pPr>
        <w:tabs>
          <w:tab w:val="num" w:pos="4428"/>
        </w:tabs>
        <w:ind w:left="4428" w:hanging="360"/>
      </w:pPr>
      <w:rPr>
        <w:rFonts w:ascii="Wingdings" w:hAnsi="Wingdings" w:hint="default"/>
      </w:rPr>
    </w:lvl>
    <w:lvl w:ilvl="3" w:tplc="040C0001" w:tentative="1">
      <w:start w:val="1"/>
      <w:numFmt w:val="bullet"/>
      <w:lvlText w:val=""/>
      <w:lvlJc w:val="left"/>
      <w:pPr>
        <w:tabs>
          <w:tab w:val="num" w:pos="5148"/>
        </w:tabs>
        <w:ind w:left="5148" w:hanging="360"/>
      </w:pPr>
      <w:rPr>
        <w:rFonts w:ascii="Symbol" w:hAnsi="Symbol" w:hint="default"/>
      </w:rPr>
    </w:lvl>
    <w:lvl w:ilvl="4" w:tplc="040C0003" w:tentative="1">
      <w:start w:val="1"/>
      <w:numFmt w:val="bullet"/>
      <w:lvlText w:val="o"/>
      <w:lvlJc w:val="left"/>
      <w:pPr>
        <w:tabs>
          <w:tab w:val="num" w:pos="5868"/>
        </w:tabs>
        <w:ind w:left="5868" w:hanging="360"/>
      </w:pPr>
      <w:rPr>
        <w:rFonts w:ascii="Courier New" w:hAnsi="Courier New" w:hint="default"/>
      </w:rPr>
    </w:lvl>
    <w:lvl w:ilvl="5" w:tplc="040C0005" w:tentative="1">
      <w:start w:val="1"/>
      <w:numFmt w:val="bullet"/>
      <w:lvlText w:val=""/>
      <w:lvlJc w:val="left"/>
      <w:pPr>
        <w:tabs>
          <w:tab w:val="num" w:pos="6588"/>
        </w:tabs>
        <w:ind w:left="6588" w:hanging="360"/>
      </w:pPr>
      <w:rPr>
        <w:rFonts w:ascii="Wingdings" w:hAnsi="Wingdings" w:hint="default"/>
      </w:rPr>
    </w:lvl>
    <w:lvl w:ilvl="6" w:tplc="040C0001" w:tentative="1">
      <w:start w:val="1"/>
      <w:numFmt w:val="bullet"/>
      <w:lvlText w:val=""/>
      <w:lvlJc w:val="left"/>
      <w:pPr>
        <w:tabs>
          <w:tab w:val="num" w:pos="7308"/>
        </w:tabs>
        <w:ind w:left="7308" w:hanging="360"/>
      </w:pPr>
      <w:rPr>
        <w:rFonts w:ascii="Symbol" w:hAnsi="Symbol" w:hint="default"/>
      </w:rPr>
    </w:lvl>
    <w:lvl w:ilvl="7" w:tplc="040C0003" w:tentative="1">
      <w:start w:val="1"/>
      <w:numFmt w:val="bullet"/>
      <w:lvlText w:val="o"/>
      <w:lvlJc w:val="left"/>
      <w:pPr>
        <w:tabs>
          <w:tab w:val="num" w:pos="8028"/>
        </w:tabs>
        <w:ind w:left="8028" w:hanging="360"/>
      </w:pPr>
      <w:rPr>
        <w:rFonts w:ascii="Courier New" w:hAnsi="Courier New" w:hint="default"/>
      </w:rPr>
    </w:lvl>
    <w:lvl w:ilvl="8" w:tplc="040C0005" w:tentative="1">
      <w:start w:val="1"/>
      <w:numFmt w:val="bullet"/>
      <w:lvlText w:val=""/>
      <w:lvlJc w:val="left"/>
      <w:pPr>
        <w:tabs>
          <w:tab w:val="num" w:pos="8748"/>
        </w:tabs>
        <w:ind w:left="8748" w:hanging="360"/>
      </w:pPr>
      <w:rPr>
        <w:rFonts w:ascii="Wingdings" w:hAnsi="Wingdings" w:hint="default"/>
      </w:rPr>
    </w:lvl>
  </w:abstractNum>
  <w:abstractNum w:abstractNumId="22" w15:restartNumberingAfterBreak="0">
    <w:nsid w:val="4D8A712C"/>
    <w:multiLevelType w:val="hybridMultilevel"/>
    <w:tmpl w:val="6442ABA6"/>
    <w:lvl w:ilvl="0" w:tplc="E6A4ABAC">
      <w:start w:val="1"/>
      <w:numFmt w:val="upperRoman"/>
      <w:lvlText w:val="%1."/>
      <w:lvlJc w:val="left"/>
      <w:pPr>
        <w:ind w:left="1080" w:hanging="72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F9C6B9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7257746"/>
    <w:multiLevelType w:val="hybridMultilevel"/>
    <w:tmpl w:val="64D601E0"/>
    <w:lvl w:ilvl="0" w:tplc="A8FE8D8A">
      <w:start w:val="1"/>
      <w:numFmt w:val="upperRoman"/>
      <w:lvlText w:val="%1."/>
      <w:lvlJc w:val="left"/>
      <w:pPr>
        <w:ind w:left="1854" w:hanging="720"/>
      </w:pPr>
      <w:rPr>
        <w:rFonts w:hint="default"/>
        <w:sz w:val="28"/>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5" w15:restartNumberingAfterBreak="0">
    <w:nsid w:val="68AD07B2"/>
    <w:multiLevelType w:val="hybridMultilevel"/>
    <w:tmpl w:val="564E745E"/>
    <w:lvl w:ilvl="0" w:tplc="3B64B33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3141"/>
        </w:tabs>
        <w:ind w:left="3141" w:hanging="360"/>
      </w:pPr>
      <w:rPr>
        <w:rFonts w:ascii="Courier New" w:hAnsi="Courier New" w:hint="default"/>
      </w:rPr>
    </w:lvl>
    <w:lvl w:ilvl="2" w:tplc="040C0005" w:tentative="1">
      <w:start w:val="1"/>
      <w:numFmt w:val="bullet"/>
      <w:lvlText w:val=""/>
      <w:lvlJc w:val="left"/>
      <w:pPr>
        <w:tabs>
          <w:tab w:val="num" w:pos="3861"/>
        </w:tabs>
        <w:ind w:left="3861" w:hanging="360"/>
      </w:pPr>
      <w:rPr>
        <w:rFonts w:ascii="Wingdings" w:hAnsi="Wingdings" w:hint="default"/>
      </w:rPr>
    </w:lvl>
    <w:lvl w:ilvl="3" w:tplc="040C0001" w:tentative="1">
      <w:start w:val="1"/>
      <w:numFmt w:val="bullet"/>
      <w:lvlText w:val=""/>
      <w:lvlJc w:val="left"/>
      <w:pPr>
        <w:tabs>
          <w:tab w:val="num" w:pos="4581"/>
        </w:tabs>
        <w:ind w:left="4581" w:hanging="360"/>
      </w:pPr>
      <w:rPr>
        <w:rFonts w:ascii="Symbol" w:hAnsi="Symbol" w:hint="default"/>
      </w:rPr>
    </w:lvl>
    <w:lvl w:ilvl="4" w:tplc="040C0003" w:tentative="1">
      <w:start w:val="1"/>
      <w:numFmt w:val="bullet"/>
      <w:lvlText w:val="o"/>
      <w:lvlJc w:val="left"/>
      <w:pPr>
        <w:tabs>
          <w:tab w:val="num" w:pos="5301"/>
        </w:tabs>
        <w:ind w:left="5301" w:hanging="360"/>
      </w:pPr>
      <w:rPr>
        <w:rFonts w:ascii="Courier New" w:hAnsi="Courier New" w:hint="default"/>
      </w:rPr>
    </w:lvl>
    <w:lvl w:ilvl="5" w:tplc="040C0005" w:tentative="1">
      <w:start w:val="1"/>
      <w:numFmt w:val="bullet"/>
      <w:lvlText w:val=""/>
      <w:lvlJc w:val="left"/>
      <w:pPr>
        <w:tabs>
          <w:tab w:val="num" w:pos="6021"/>
        </w:tabs>
        <w:ind w:left="6021" w:hanging="360"/>
      </w:pPr>
      <w:rPr>
        <w:rFonts w:ascii="Wingdings" w:hAnsi="Wingdings" w:hint="default"/>
      </w:rPr>
    </w:lvl>
    <w:lvl w:ilvl="6" w:tplc="040C0001" w:tentative="1">
      <w:start w:val="1"/>
      <w:numFmt w:val="bullet"/>
      <w:lvlText w:val=""/>
      <w:lvlJc w:val="left"/>
      <w:pPr>
        <w:tabs>
          <w:tab w:val="num" w:pos="6741"/>
        </w:tabs>
        <w:ind w:left="6741" w:hanging="360"/>
      </w:pPr>
      <w:rPr>
        <w:rFonts w:ascii="Symbol" w:hAnsi="Symbol" w:hint="default"/>
      </w:rPr>
    </w:lvl>
    <w:lvl w:ilvl="7" w:tplc="040C0003" w:tentative="1">
      <w:start w:val="1"/>
      <w:numFmt w:val="bullet"/>
      <w:lvlText w:val="o"/>
      <w:lvlJc w:val="left"/>
      <w:pPr>
        <w:tabs>
          <w:tab w:val="num" w:pos="7461"/>
        </w:tabs>
        <w:ind w:left="7461" w:hanging="360"/>
      </w:pPr>
      <w:rPr>
        <w:rFonts w:ascii="Courier New" w:hAnsi="Courier New" w:hint="default"/>
      </w:rPr>
    </w:lvl>
    <w:lvl w:ilvl="8" w:tplc="040C0005" w:tentative="1">
      <w:start w:val="1"/>
      <w:numFmt w:val="bullet"/>
      <w:lvlText w:val=""/>
      <w:lvlJc w:val="left"/>
      <w:pPr>
        <w:tabs>
          <w:tab w:val="num" w:pos="8181"/>
        </w:tabs>
        <w:ind w:left="8181" w:hanging="360"/>
      </w:pPr>
      <w:rPr>
        <w:rFonts w:ascii="Wingdings" w:hAnsi="Wingdings" w:hint="default"/>
      </w:rPr>
    </w:lvl>
  </w:abstractNum>
  <w:num w:numId="1" w16cid:durableId="622616154">
    <w:abstractNumId w:val="25"/>
  </w:num>
  <w:num w:numId="2" w16cid:durableId="1921333580">
    <w:abstractNumId w:val="21"/>
  </w:num>
  <w:num w:numId="3" w16cid:durableId="880898490">
    <w:abstractNumId w:val="12"/>
  </w:num>
  <w:num w:numId="4" w16cid:durableId="600072419">
    <w:abstractNumId w:val="8"/>
  </w:num>
  <w:num w:numId="5" w16cid:durableId="827936462">
    <w:abstractNumId w:val="3"/>
  </w:num>
  <w:num w:numId="6" w16cid:durableId="639385261">
    <w:abstractNumId w:val="2"/>
  </w:num>
  <w:num w:numId="7" w16cid:durableId="503400764">
    <w:abstractNumId w:val="1"/>
  </w:num>
  <w:num w:numId="8" w16cid:durableId="993265910">
    <w:abstractNumId w:val="0"/>
  </w:num>
  <w:num w:numId="9" w16cid:durableId="785739676">
    <w:abstractNumId w:val="9"/>
  </w:num>
  <w:num w:numId="10" w16cid:durableId="1414089783">
    <w:abstractNumId w:val="7"/>
  </w:num>
  <w:num w:numId="11" w16cid:durableId="70737992">
    <w:abstractNumId w:val="6"/>
  </w:num>
  <w:num w:numId="12" w16cid:durableId="2062287066">
    <w:abstractNumId w:val="5"/>
  </w:num>
  <w:num w:numId="13" w16cid:durableId="68970102">
    <w:abstractNumId w:val="4"/>
  </w:num>
  <w:num w:numId="14" w16cid:durableId="1621838549">
    <w:abstractNumId w:val="25"/>
  </w:num>
  <w:num w:numId="15" w16cid:durableId="1862237535">
    <w:abstractNumId w:val="21"/>
  </w:num>
  <w:num w:numId="16" w16cid:durableId="75135487">
    <w:abstractNumId w:val="12"/>
  </w:num>
  <w:num w:numId="17" w16cid:durableId="1253078998">
    <w:abstractNumId w:val="25"/>
  </w:num>
  <w:num w:numId="18" w16cid:durableId="1188063002">
    <w:abstractNumId w:val="21"/>
  </w:num>
  <w:num w:numId="19" w16cid:durableId="1144927262">
    <w:abstractNumId w:val="12"/>
  </w:num>
  <w:num w:numId="20" w16cid:durableId="1401756814">
    <w:abstractNumId w:val="13"/>
  </w:num>
  <w:num w:numId="21" w16cid:durableId="471556098">
    <w:abstractNumId w:val="19"/>
  </w:num>
  <w:num w:numId="22" w16cid:durableId="429397001">
    <w:abstractNumId w:val="15"/>
  </w:num>
  <w:num w:numId="23" w16cid:durableId="1606957740">
    <w:abstractNumId w:val="14"/>
  </w:num>
  <w:num w:numId="24" w16cid:durableId="1664820072">
    <w:abstractNumId w:val="11"/>
  </w:num>
  <w:num w:numId="25" w16cid:durableId="980380822">
    <w:abstractNumId w:val="17"/>
  </w:num>
  <w:num w:numId="26" w16cid:durableId="257176992">
    <w:abstractNumId w:val="22"/>
  </w:num>
  <w:num w:numId="27" w16cid:durableId="214704128">
    <w:abstractNumId w:val="24"/>
  </w:num>
  <w:num w:numId="28" w16cid:durableId="2042432806">
    <w:abstractNumId w:val="18"/>
  </w:num>
  <w:num w:numId="29" w16cid:durableId="1280377620">
    <w:abstractNumId w:val="16"/>
  </w:num>
  <w:num w:numId="30" w16cid:durableId="2092923908">
    <w:abstractNumId w:val="10"/>
  </w:num>
  <w:num w:numId="31" w16cid:durableId="1951813221">
    <w:abstractNumId w:val="20"/>
  </w:num>
  <w:num w:numId="32" w16cid:durableId="16648356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attachedTemplate r:id="rId1"/>
  <w:defaultTabStop w:val="567"/>
  <w:hyphenationZone w:val="425"/>
  <w:evenAndOddHeaders/>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37B"/>
    <w:rsid w:val="00017F94"/>
    <w:rsid w:val="00023842"/>
    <w:rsid w:val="000334F9"/>
    <w:rsid w:val="000354E9"/>
    <w:rsid w:val="00050CF5"/>
    <w:rsid w:val="0007796D"/>
    <w:rsid w:val="00091C97"/>
    <w:rsid w:val="000B7790"/>
    <w:rsid w:val="00111F2F"/>
    <w:rsid w:val="0014365E"/>
    <w:rsid w:val="00176178"/>
    <w:rsid w:val="001F4C6E"/>
    <w:rsid w:val="001F525A"/>
    <w:rsid w:val="00223272"/>
    <w:rsid w:val="0022626A"/>
    <w:rsid w:val="0024779E"/>
    <w:rsid w:val="00260A30"/>
    <w:rsid w:val="002C1F15"/>
    <w:rsid w:val="002D14A3"/>
    <w:rsid w:val="00310CCF"/>
    <w:rsid w:val="00311E81"/>
    <w:rsid w:val="00340ED0"/>
    <w:rsid w:val="003451A3"/>
    <w:rsid w:val="003A7944"/>
    <w:rsid w:val="00411C8E"/>
    <w:rsid w:val="00446FE5"/>
    <w:rsid w:val="00452396"/>
    <w:rsid w:val="00485B35"/>
    <w:rsid w:val="004D7A2C"/>
    <w:rsid w:val="004E1767"/>
    <w:rsid w:val="004E2541"/>
    <w:rsid w:val="0052233C"/>
    <w:rsid w:val="005505B7"/>
    <w:rsid w:val="005536E5"/>
    <w:rsid w:val="005727BB"/>
    <w:rsid w:val="00573BE5"/>
    <w:rsid w:val="00586ED3"/>
    <w:rsid w:val="00596AA9"/>
    <w:rsid w:val="005B0033"/>
    <w:rsid w:val="00627FF3"/>
    <w:rsid w:val="006351FC"/>
    <w:rsid w:val="0065593E"/>
    <w:rsid w:val="00691D1A"/>
    <w:rsid w:val="006E1B41"/>
    <w:rsid w:val="0071601D"/>
    <w:rsid w:val="00717BCE"/>
    <w:rsid w:val="007341B7"/>
    <w:rsid w:val="00760CBC"/>
    <w:rsid w:val="00774D1E"/>
    <w:rsid w:val="007A62E6"/>
    <w:rsid w:val="007D1A3F"/>
    <w:rsid w:val="007F61AD"/>
    <w:rsid w:val="00802EF9"/>
    <w:rsid w:val="0080684C"/>
    <w:rsid w:val="00840413"/>
    <w:rsid w:val="00871C75"/>
    <w:rsid w:val="008776DC"/>
    <w:rsid w:val="008C54BD"/>
    <w:rsid w:val="008F3CA0"/>
    <w:rsid w:val="009002F3"/>
    <w:rsid w:val="009705C8"/>
    <w:rsid w:val="00991AC6"/>
    <w:rsid w:val="00A27B97"/>
    <w:rsid w:val="00A30353"/>
    <w:rsid w:val="00AC3823"/>
    <w:rsid w:val="00AD5D80"/>
    <w:rsid w:val="00AE323C"/>
    <w:rsid w:val="00B00181"/>
    <w:rsid w:val="00B24A9B"/>
    <w:rsid w:val="00B765F7"/>
    <w:rsid w:val="00BA0CA9"/>
    <w:rsid w:val="00BB7220"/>
    <w:rsid w:val="00BD4E17"/>
    <w:rsid w:val="00BF204B"/>
    <w:rsid w:val="00C02897"/>
    <w:rsid w:val="00C4337B"/>
    <w:rsid w:val="00D3439C"/>
    <w:rsid w:val="00D379DA"/>
    <w:rsid w:val="00D46FD4"/>
    <w:rsid w:val="00DB1831"/>
    <w:rsid w:val="00DD3BFD"/>
    <w:rsid w:val="00DF6678"/>
    <w:rsid w:val="00E27606"/>
    <w:rsid w:val="00E948BA"/>
    <w:rsid w:val="00EE377E"/>
    <w:rsid w:val="00F6423D"/>
    <w:rsid w:val="00F660DF"/>
    <w:rsid w:val="00F95C08"/>
  </w:rsids>
  <m:mathPr>
    <m:mathFont m:val="Cambria Math"/>
    <m:brkBin m:val="before"/>
    <m:brkBinSub m:val="--"/>
    <m:smallFrac m:val="0"/>
    <m:dispDef/>
    <m:lMargin m:val="0"/>
    <m:rMargin m:val="0"/>
    <m:defJc m:val="centerGroup"/>
    <m:wrapIndent m:val="1440"/>
    <m:intLim m:val="subSup"/>
    <m:naryLim m:val="undOvr"/>
  </m:mathPr>
  <w:themeFontLang w:val="fr-CH"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68AC05"/>
  <w15:docId w15:val="{D9CDC149-4F49-4554-BECA-2AC2D469B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fr-CH"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lsdException w:name="heading 3" w:semiHidden="1" w:uiPriority="0" w:unhideWhenUsed="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E81"/>
    <w:pPr>
      <w:suppressAutoHyphens/>
      <w:kinsoku w:val="0"/>
      <w:overflowPunct w:val="0"/>
      <w:autoSpaceDE w:val="0"/>
      <w:autoSpaceDN w:val="0"/>
      <w:adjustRightInd w:val="0"/>
      <w:snapToGrid w:val="0"/>
      <w:spacing w:after="0" w:line="240" w:lineRule="atLeast"/>
    </w:pPr>
    <w:rPr>
      <w:rFonts w:ascii="Times New Roman" w:eastAsiaTheme="minorHAnsi" w:hAnsi="Times New Roman" w:cs="Times New Roman"/>
      <w:sz w:val="20"/>
      <w:szCs w:val="20"/>
      <w:lang w:eastAsia="en-US"/>
    </w:rPr>
  </w:style>
  <w:style w:type="paragraph" w:styleId="Titre1">
    <w:name w:val="heading 1"/>
    <w:aliases w:val="Table_G"/>
    <w:basedOn w:val="SingleTxtG"/>
    <w:next w:val="SingleTxtG"/>
    <w:link w:val="Titre1Car"/>
    <w:qFormat/>
    <w:rsid w:val="00311E81"/>
    <w:pPr>
      <w:keepNext/>
      <w:keepLines/>
      <w:spacing w:after="0" w:line="240" w:lineRule="auto"/>
      <w:ind w:right="0"/>
      <w:jc w:val="left"/>
      <w:outlineLvl w:val="0"/>
    </w:pPr>
  </w:style>
  <w:style w:type="paragraph" w:styleId="Titre2">
    <w:name w:val="heading 2"/>
    <w:basedOn w:val="Normal"/>
    <w:next w:val="Normal"/>
    <w:link w:val="Titre2Car"/>
    <w:rsid w:val="008C54BD"/>
    <w:pPr>
      <w:outlineLvl w:val="1"/>
    </w:pPr>
  </w:style>
  <w:style w:type="paragraph" w:styleId="Titre3">
    <w:name w:val="heading 3"/>
    <w:basedOn w:val="Normal"/>
    <w:next w:val="Normal"/>
    <w:link w:val="Titre3Car"/>
    <w:rsid w:val="008C54BD"/>
    <w:pPr>
      <w:outlineLvl w:val="2"/>
    </w:pPr>
  </w:style>
  <w:style w:type="paragraph" w:styleId="Titre4">
    <w:name w:val="heading 4"/>
    <w:basedOn w:val="Normal"/>
    <w:next w:val="Normal"/>
    <w:link w:val="Titre4Car"/>
    <w:rsid w:val="008C54BD"/>
    <w:pPr>
      <w:outlineLvl w:val="3"/>
    </w:pPr>
  </w:style>
  <w:style w:type="paragraph" w:styleId="Titre5">
    <w:name w:val="heading 5"/>
    <w:basedOn w:val="Normal"/>
    <w:next w:val="Normal"/>
    <w:link w:val="Titre5Car"/>
    <w:rsid w:val="008C54BD"/>
    <w:pPr>
      <w:outlineLvl w:val="4"/>
    </w:pPr>
  </w:style>
  <w:style w:type="paragraph" w:styleId="Titre6">
    <w:name w:val="heading 6"/>
    <w:basedOn w:val="Normal"/>
    <w:next w:val="Normal"/>
    <w:link w:val="Titre6Car"/>
    <w:rsid w:val="008C54BD"/>
    <w:pPr>
      <w:outlineLvl w:val="5"/>
    </w:pPr>
  </w:style>
  <w:style w:type="paragraph" w:styleId="Titre7">
    <w:name w:val="heading 7"/>
    <w:basedOn w:val="Normal"/>
    <w:next w:val="Normal"/>
    <w:link w:val="Titre7Car"/>
    <w:rsid w:val="008C54BD"/>
    <w:pPr>
      <w:outlineLvl w:val="6"/>
    </w:pPr>
  </w:style>
  <w:style w:type="paragraph" w:styleId="Titre8">
    <w:name w:val="heading 8"/>
    <w:basedOn w:val="Normal"/>
    <w:next w:val="Normal"/>
    <w:link w:val="Titre8Car"/>
    <w:rsid w:val="008C54BD"/>
    <w:pPr>
      <w:outlineLvl w:val="7"/>
    </w:pPr>
  </w:style>
  <w:style w:type="paragraph" w:styleId="Titre9">
    <w:name w:val="heading 9"/>
    <w:basedOn w:val="Normal"/>
    <w:next w:val="Normal"/>
    <w:link w:val="Titre9Car"/>
    <w:rsid w:val="008C54BD"/>
    <w:pPr>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aliases w:val="6_G"/>
    <w:basedOn w:val="Normal"/>
    <w:next w:val="Normal"/>
    <w:link w:val="En-tteCar"/>
    <w:qFormat/>
    <w:rsid w:val="00311E81"/>
    <w:pPr>
      <w:pBdr>
        <w:bottom w:val="single" w:sz="4" w:space="4" w:color="auto"/>
      </w:pBdr>
      <w:spacing w:line="240" w:lineRule="auto"/>
    </w:pPr>
    <w:rPr>
      <w:b/>
      <w:sz w:val="18"/>
    </w:rPr>
  </w:style>
  <w:style w:type="character" w:customStyle="1" w:styleId="En-tteCar">
    <w:name w:val="En-tête Car"/>
    <w:aliases w:val="6_G Car"/>
    <w:basedOn w:val="Policepardfaut"/>
    <w:link w:val="En-tte"/>
    <w:rsid w:val="00311E81"/>
    <w:rPr>
      <w:rFonts w:ascii="Times New Roman" w:eastAsiaTheme="minorHAnsi" w:hAnsi="Times New Roman" w:cs="Times New Roman"/>
      <w:b/>
      <w:sz w:val="18"/>
      <w:szCs w:val="20"/>
      <w:lang w:eastAsia="en-US"/>
    </w:rPr>
  </w:style>
  <w:style w:type="paragraph" w:styleId="Pieddepage">
    <w:name w:val="footer"/>
    <w:aliases w:val="3_G"/>
    <w:basedOn w:val="Normal"/>
    <w:next w:val="Normal"/>
    <w:link w:val="PieddepageCar"/>
    <w:qFormat/>
    <w:rsid w:val="00311E81"/>
    <w:pPr>
      <w:spacing w:line="240" w:lineRule="auto"/>
    </w:pPr>
    <w:rPr>
      <w:sz w:val="16"/>
    </w:rPr>
  </w:style>
  <w:style w:type="character" w:customStyle="1" w:styleId="PieddepageCar">
    <w:name w:val="Pied de page Car"/>
    <w:aliases w:val="3_G Car"/>
    <w:basedOn w:val="Policepardfaut"/>
    <w:link w:val="Pieddepage"/>
    <w:rsid w:val="00311E81"/>
    <w:rPr>
      <w:rFonts w:ascii="Times New Roman" w:eastAsiaTheme="minorHAnsi" w:hAnsi="Times New Roman" w:cs="Times New Roman"/>
      <w:sz w:val="16"/>
      <w:szCs w:val="20"/>
      <w:lang w:eastAsia="en-US"/>
    </w:rPr>
  </w:style>
  <w:style w:type="paragraph" w:customStyle="1" w:styleId="HMG">
    <w:name w:val="_ H __M_G"/>
    <w:basedOn w:val="Normal"/>
    <w:next w:val="Normal"/>
    <w:qFormat/>
    <w:rsid w:val="00311E81"/>
    <w:pPr>
      <w:keepNext/>
      <w:keepLines/>
      <w:tabs>
        <w:tab w:val="right" w:pos="851"/>
      </w:tabs>
      <w:spacing w:before="240" w:after="240" w:line="360" w:lineRule="exact"/>
      <w:ind w:left="1134" w:right="1134" w:hanging="1134"/>
      <w:outlineLvl w:val="0"/>
    </w:pPr>
    <w:rPr>
      <w:b/>
      <w:sz w:val="34"/>
    </w:rPr>
  </w:style>
  <w:style w:type="paragraph" w:customStyle="1" w:styleId="HChG">
    <w:name w:val="_ H _Ch_G"/>
    <w:basedOn w:val="Normal"/>
    <w:next w:val="Normal"/>
    <w:link w:val="HChGChar"/>
    <w:qFormat/>
    <w:rsid w:val="00311E81"/>
    <w:pPr>
      <w:keepNext/>
      <w:keepLines/>
      <w:tabs>
        <w:tab w:val="right" w:pos="851"/>
      </w:tabs>
      <w:spacing w:before="360" w:after="240" w:line="300" w:lineRule="exact"/>
      <w:ind w:left="1134" w:right="1134" w:hanging="1134"/>
      <w:outlineLvl w:val="1"/>
    </w:pPr>
    <w:rPr>
      <w:b/>
      <w:sz w:val="28"/>
    </w:rPr>
  </w:style>
  <w:style w:type="paragraph" w:customStyle="1" w:styleId="H1G">
    <w:name w:val="_ H_1_G"/>
    <w:basedOn w:val="Normal"/>
    <w:next w:val="Normal"/>
    <w:link w:val="H1GChar"/>
    <w:qFormat/>
    <w:rsid w:val="00311E81"/>
    <w:pPr>
      <w:keepNext/>
      <w:keepLines/>
      <w:tabs>
        <w:tab w:val="right" w:pos="851"/>
      </w:tabs>
      <w:spacing w:before="360" w:after="240" w:line="270" w:lineRule="exact"/>
      <w:ind w:left="1134" w:right="1134" w:hanging="1134"/>
      <w:outlineLvl w:val="2"/>
    </w:pPr>
    <w:rPr>
      <w:b/>
      <w:sz w:val="24"/>
    </w:rPr>
  </w:style>
  <w:style w:type="paragraph" w:customStyle="1" w:styleId="H23G">
    <w:name w:val="_ H_2/3_G"/>
    <w:basedOn w:val="Normal"/>
    <w:next w:val="Normal"/>
    <w:link w:val="H23GChar"/>
    <w:qFormat/>
    <w:rsid w:val="00311E81"/>
    <w:pPr>
      <w:keepNext/>
      <w:keepLines/>
      <w:tabs>
        <w:tab w:val="right" w:pos="851"/>
      </w:tabs>
      <w:spacing w:before="240" w:after="120" w:line="240" w:lineRule="exact"/>
      <w:ind w:left="1134" w:right="1134" w:hanging="1134"/>
      <w:outlineLvl w:val="3"/>
    </w:pPr>
    <w:rPr>
      <w:b/>
    </w:rPr>
  </w:style>
  <w:style w:type="paragraph" w:customStyle="1" w:styleId="H4G">
    <w:name w:val="_ H_4_G"/>
    <w:basedOn w:val="Normal"/>
    <w:next w:val="Normal"/>
    <w:qFormat/>
    <w:rsid w:val="00311E81"/>
    <w:pPr>
      <w:keepNext/>
      <w:keepLines/>
      <w:tabs>
        <w:tab w:val="right" w:pos="851"/>
      </w:tabs>
      <w:spacing w:before="240" w:after="120" w:line="240" w:lineRule="exact"/>
      <w:ind w:left="1134" w:right="1134" w:hanging="1134"/>
      <w:outlineLvl w:val="4"/>
    </w:pPr>
    <w:rPr>
      <w:i/>
    </w:rPr>
  </w:style>
  <w:style w:type="paragraph" w:customStyle="1" w:styleId="H56G">
    <w:name w:val="_ H_5/6_G"/>
    <w:basedOn w:val="Normal"/>
    <w:next w:val="Normal"/>
    <w:qFormat/>
    <w:rsid w:val="00311E81"/>
    <w:pPr>
      <w:keepNext/>
      <w:keepLines/>
      <w:tabs>
        <w:tab w:val="right" w:pos="851"/>
      </w:tabs>
      <w:spacing w:before="240" w:after="120" w:line="240" w:lineRule="exact"/>
      <w:ind w:left="1134" w:right="1134" w:hanging="1134"/>
      <w:outlineLvl w:val="5"/>
    </w:pPr>
  </w:style>
  <w:style w:type="paragraph" w:customStyle="1" w:styleId="SingleTxtG">
    <w:name w:val="_ Single Txt_G"/>
    <w:basedOn w:val="Normal"/>
    <w:qFormat/>
    <w:rsid w:val="00311E81"/>
    <w:pPr>
      <w:tabs>
        <w:tab w:val="left" w:pos="1701"/>
        <w:tab w:val="left" w:pos="2268"/>
        <w:tab w:val="left" w:pos="2835"/>
      </w:tabs>
      <w:spacing w:after="120"/>
      <w:ind w:left="1134" w:right="1134"/>
      <w:jc w:val="both"/>
    </w:pPr>
  </w:style>
  <w:style w:type="paragraph" w:customStyle="1" w:styleId="SLG">
    <w:name w:val="__S_L_G"/>
    <w:basedOn w:val="Normal"/>
    <w:next w:val="Normal"/>
    <w:rsid w:val="00311E81"/>
    <w:pPr>
      <w:keepNext/>
      <w:keepLines/>
      <w:spacing w:before="240" w:after="240" w:line="580" w:lineRule="exact"/>
      <w:ind w:left="1134" w:right="1134"/>
    </w:pPr>
    <w:rPr>
      <w:b/>
      <w:sz w:val="56"/>
    </w:rPr>
  </w:style>
  <w:style w:type="paragraph" w:customStyle="1" w:styleId="SMG">
    <w:name w:val="__S_M_G"/>
    <w:basedOn w:val="Normal"/>
    <w:next w:val="Normal"/>
    <w:rsid w:val="00311E81"/>
    <w:pPr>
      <w:keepNext/>
      <w:keepLines/>
      <w:spacing w:before="240" w:after="240" w:line="420" w:lineRule="exact"/>
      <w:ind w:left="1134" w:right="1134"/>
    </w:pPr>
    <w:rPr>
      <w:b/>
      <w:sz w:val="40"/>
    </w:rPr>
  </w:style>
  <w:style w:type="paragraph" w:customStyle="1" w:styleId="SSG">
    <w:name w:val="__S_S_G"/>
    <w:basedOn w:val="Normal"/>
    <w:next w:val="Normal"/>
    <w:rsid w:val="00311E81"/>
    <w:pPr>
      <w:keepNext/>
      <w:keepLines/>
      <w:spacing w:before="240" w:after="240" w:line="300" w:lineRule="exact"/>
      <w:ind w:left="1134" w:right="1134"/>
    </w:pPr>
    <w:rPr>
      <w:b/>
      <w:sz w:val="28"/>
    </w:rPr>
  </w:style>
  <w:style w:type="paragraph" w:customStyle="1" w:styleId="XLargeG">
    <w:name w:val="__XLarge_G"/>
    <w:basedOn w:val="Normal"/>
    <w:next w:val="Normal"/>
    <w:rsid w:val="00311E81"/>
    <w:pPr>
      <w:keepNext/>
      <w:keepLines/>
      <w:spacing w:before="240" w:after="240" w:line="420" w:lineRule="exact"/>
      <w:ind w:left="1134" w:right="1134"/>
    </w:pPr>
    <w:rPr>
      <w:b/>
      <w:sz w:val="40"/>
    </w:rPr>
  </w:style>
  <w:style w:type="paragraph" w:customStyle="1" w:styleId="Bullet1G">
    <w:name w:val="_Bullet 1_G"/>
    <w:basedOn w:val="Normal"/>
    <w:qFormat/>
    <w:rsid w:val="00311E81"/>
    <w:pPr>
      <w:numPr>
        <w:numId w:val="17"/>
      </w:numPr>
      <w:spacing w:after="120"/>
      <w:ind w:right="1134"/>
      <w:jc w:val="both"/>
    </w:pPr>
  </w:style>
  <w:style w:type="paragraph" w:customStyle="1" w:styleId="Bullet2G">
    <w:name w:val="_Bullet 2_G"/>
    <w:basedOn w:val="Normal"/>
    <w:qFormat/>
    <w:rsid w:val="00311E81"/>
    <w:pPr>
      <w:numPr>
        <w:numId w:val="18"/>
      </w:numPr>
      <w:spacing w:after="120"/>
      <w:ind w:right="1134"/>
      <w:jc w:val="both"/>
    </w:pPr>
  </w:style>
  <w:style w:type="paragraph" w:customStyle="1" w:styleId="ParNoG">
    <w:name w:val="_ParNo_G"/>
    <w:basedOn w:val="Normal"/>
    <w:qFormat/>
    <w:rsid w:val="00311E81"/>
    <w:pPr>
      <w:numPr>
        <w:numId w:val="19"/>
      </w:numPr>
      <w:tabs>
        <w:tab w:val="left" w:pos="1701"/>
        <w:tab w:val="left" w:pos="2268"/>
        <w:tab w:val="left" w:pos="2835"/>
      </w:tabs>
      <w:spacing w:after="120"/>
      <w:ind w:right="1134"/>
      <w:jc w:val="both"/>
    </w:pPr>
  </w:style>
  <w:style w:type="character" w:styleId="Appelnotedebasdep">
    <w:name w:val="footnote reference"/>
    <w:aliases w:val="4_G"/>
    <w:basedOn w:val="Policepardfaut"/>
    <w:qFormat/>
    <w:rsid w:val="00311E81"/>
    <w:rPr>
      <w:rFonts w:ascii="Times New Roman" w:hAnsi="Times New Roman"/>
      <w:sz w:val="18"/>
      <w:vertAlign w:val="superscript"/>
      <w:lang w:val="fr-CH"/>
    </w:rPr>
  </w:style>
  <w:style w:type="character" w:styleId="Appeldenotedefin">
    <w:name w:val="endnote reference"/>
    <w:aliases w:val="1_G"/>
    <w:basedOn w:val="Appelnotedebasdep"/>
    <w:qFormat/>
    <w:rsid w:val="00311E81"/>
    <w:rPr>
      <w:rFonts w:ascii="Times New Roman" w:hAnsi="Times New Roman"/>
      <w:sz w:val="18"/>
      <w:vertAlign w:val="superscript"/>
      <w:lang w:val="fr-CH"/>
    </w:rPr>
  </w:style>
  <w:style w:type="table" w:styleId="Grilledutableau">
    <w:name w:val="Table Grid"/>
    <w:basedOn w:val="TableauNormal"/>
    <w:rsid w:val="00311E81"/>
    <w:pPr>
      <w:suppressAutoHyphens/>
      <w:spacing w:after="0" w:line="240" w:lineRule="atLeast"/>
    </w:pPr>
    <w:rPr>
      <w:rFonts w:ascii="Times New Roman" w:eastAsiaTheme="minorHAnsi"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Lienhypertexte">
    <w:name w:val="Hyperlink"/>
    <w:basedOn w:val="Policepardfaut"/>
    <w:unhideWhenUsed/>
    <w:rsid w:val="00311E81"/>
    <w:rPr>
      <w:color w:val="0000FF"/>
      <w:u w:val="none"/>
    </w:rPr>
  </w:style>
  <w:style w:type="character" w:styleId="Lienhypertextesuivivisit">
    <w:name w:val="FollowedHyperlink"/>
    <w:basedOn w:val="Policepardfaut"/>
    <w:unhideWhenUsed/>
    <w:rsid w:val="00311E81"/>
    <w:rPr>
      <w:color w:val="0000FF"/>
      <w:u w:val="none"/>
    </w:rPr>
  </w:style>
  <w:style w:type="paragraph" w:styleId="Notedebasdepage">
    <w:name w:val="footnote text"/>
    <w:aliases w:val="5_G"/>
    <w:basedOn w:val="Normal"/>
    <w:link w:val="NotedebasdepageCar"/>
    <w:qFormat/>
    <w:rsid w:val="00311E81"/>
    <w:pPr>
      <w:tabs>
        <w:tab w:val="right" w:pos="1021"/>
      </w:tabs>
      <w:spacing w:line="220" w:lineRule="exact"/>
      <w:ind w:left="1134" w:right="1134" w:hanging="1134"/>
    </w:pPr>
    <w:rPr>
      <w:sz w:val="18"/>
    </w:rPr>
  </w:style>
  <w:style w:type="character" w:customStyle="1" w:styleId="NotedebasdepageCar">
    <w:name w:val="Note de bas de page Car"/>
    <w:aliases w:val="5_G Car"/>
    <w:basedOn w:val="Policepardfaut"/>
    <w:link w:val="Notedebasdepage"/>
    <w:rsid w:val="00311E81"/>
    <w:rPr>
      <w:rFonts w:ascii="Times New Roman" w:eastAsiaTheme="minorHAnsi" w:hAnsi="Times New Roman" w:cs="Times New Roman"/>
      <w:sz w:val="18"/>
      <w:szCs w:val="20"/>
      <w:lang w:eastAsia="en-US"/>
    </w:rPr>
  </w:style>
  <w:style w:type="paragraph" w:styleId="Notedefin">
    <w:name w:val="endnote text"/>
    <w:aliases w:val="2_G"/>
    <w:basedOn w:val="Notedebasdepage"/>
    <w:link w:val="NotedefinCar"/>
    <w:qFormat/>
    <w:rsid w:val="00311E81"/>
  </w:style>
  <w:style w:type="character" w:customStyle="1" w:styleId="NotedefinCar">
    <w:name w:val="Note de fin Car"/>
    <w:aliases w:val="2_G Car"/>
    <w:basedOn w:val="Policepardfaut"/>
    <w:link w:val="Notedefin"/>
    <w:rsid w:val="00311E81"/>
    <w:rPr>
      <w:rFonts w:ascii="Times New Roman" w:eastAsiaTheme="minorHAnsi" w:hAnsi="Times New Roman" w:cs="Times New Roman"/>
      <w:sz w:val="18"/>
      <w:szCs w:val="20"/>
      <w:lang w:eastAsia="en-US"/>
    </w:rPr>
  </w:style>
  <w:style w:type="character" w:styleId="Numrodepage">
    <w:name w:val="page number"/>
    <w:aliases w:val="7_G"/>
    <w:basedOn w:val="Policepardfaut"/>
    <w:qFormat/>
    <w:rsid w:val="00311E81"/>
    <w:rPr>
      <w:rFonts w:ascii="Times New Roman" w:hAnsi="Times New Roman"/>
      <w:b/>
      <w:sz w:val="18"/>
      <w:lang w:val="fr-CH"/>
    </w:rPr>
  </w:style>
  <w:style w:type="character" w:customStyle="1" w:styleId="Titre1Car">
    <w:name w:val="Titre 1 Car"/>
    <w:aliases w:val="Table_G Car"/>
    <w:basedOn w:val="Policepardfaut"/>
    <w:link w:val="Titre1"/>
    <w:rsid w:val="00311E81"/>
    <w:rPr>
      <w:rFonts w:ascii="Times New Roman" w:eastAsiaTheme="minorHAnsi" w:hAnsi="Times New Roman" w:cs="Times New Roman"/>
      <w:sz w:val="20"/>
      <w:szCs w:val="20"/>
      <w:lang w:eastAsia="en-US"/>
    </w:rPr>
  </w:style>
  <w:style w:type="character" w:customStyle="1" w:styleId="Titre2Car">
    <w:name w:val="Titre 2 Car"/>
    <w:basedOn w:val="Policepardfaut"/>
    <w:link w:val="Titre2"/>
    <w:rsid w:val="008C54BD"/>
    <w:rPr>
      <w:rFonts w:ascii="Times New Roman" w:eastAsiaTheme="minorHAnsi" w:hAnsi="Times New Roman" w:cs="Times New Roman"/>
      <w:sz w:val="20"/>
      <w:szCs w:val="20"/>
      <w:lang w:eastAsia="en-US"/>
    </w:rPr>
  </w:style>
  <w:style w:type="character" w:customStyle="1" w:styleId="Titre3Car">
    <w:name w:val="Titre 3 Car"/>
    <w:basedOn w:val="Policepardfaut"/>
    <w:link w:val="Titre3"/>
    <w:rsid w:val="008C54BD"/>
    <w:rPr>
      <w:rFonts w:ascii="Times New Roman" w:eastAsiaTheme="minorHAnsi" w:hAnsi="Times New Roman" w:cs="Times New Roman"/>
      <w:sz w:val="20"/>
      <w:szCs w:val="20"/>
      <w:lang w:eastAsia="en-US"/>
    </w:rPr>
  </w:style>
  <w:style w:type="character" w:customStyle="1" w:styleId="Titre4Car">
    <w:name w:val="Titre 4 Car"/>
    <w:basedOn w:val="Policepardfaut"/>
    <w:link w:val="Titre4"/>
    <w:rsid w:val="008C54BD"/>
    <w:rPr>
      <w:rFonts w:ascii="Times New Roman" w:eastAsiaTheme="minorHAnsi" w:hAnsi="Times New Roman" w:cs="Times New Roman"/>
      <w:sz w:val="20"/>
      <w:szCs w:val="20"/>
      <w:lang w:eastAsia="en-US"/>
    </w:rPr>
  </w:style>
  <w:style w:type="character" w:customStyle="1" w:styleId="Titre5Car">
    <w:name w:val="Titre 5 Car"/>
    <w:basedOn w:val="Policepardfaut"/>
    <w:link w:val="Titre5"/>
    <w:rsid w:val="008C54BD"/>
    <w:rPr>
      <w:rFonts w:ascii="Times New Roman" w:eastAsiaTheme="minorHAnsi" w:hAnsi="Times New Roman" w:cs="Times New Roman"/>
      <w:sz w:val="20"/>
      <w:szCs w:val="20"/>
      <w:lang w:eastAsia="en-US"/>
    </w:rPr>
  </w:style>
  <w:style w:type="character" w:customStyle="1" w:styleId="Titre6Car">
    <w:name w:val="Titre 6 Car"/>
    <w:basedOn w:val="Policepardfaut"/>
    <w:link w:val="Titre6"/>
    <w:rsid w:val="008C54BD"/>
    <w:rPr>
      <w:rFonts w:ascii="Times New Roman" w:eastAsiaTheme="minorHAnsi" w:hAnsi="Times New Roman" w:cs="Times New Roman"/>
      <w:sz w:val="20"/>
      <w:szCs w:val="20"/>
      <w:lang w:eastAsia="en-US"/>
    </w:rPr>
  </w:style>
  <w:style w:type="character" w:customStyle="1" w:styleId="Titre7Car">
    <w:name w:val="Titre 7 Car"/>
    <w:basedOn w:val="Policepardfaut"/>
    <w:link w:val="Titre7"/>
    <w:rsid w:val="008C54BD"/>
    <w:rPr>
      <w:rFonts w:ascii="Times New Roman" w:eastAsiaTheme="minorHAnsi" w:hAnsi="Times New Roman" w:cs="Times New Roman"/>
      <w:sz w:val="20"/>
      <w:szCs w:val="20"/>
      <w:lang w:eastAsia="en-US"/>
    </w:rPr>
  </w:style>
  <w:style w:type="character" w:customStyle="1" w:styleId="Titre8Car">
    <w:name w:val="Titre 8 Car"/>
    <w:basedOn w:val="Policepardfaut"/>
    <w:link w:val="Titre8"/>
    <w:rsid w:val="008C54BD"/>
    <w:rPr>
      <w:rFonts w:ascii="Times New Roman" w:eastAsiaTheme="minorHAnsi" w:hAnsi="Times New Roman" w:cs="Times New Roman"/>
      <w:sz w:val="20"/>
      <w:szCs w:val="20"/>
      <w:lang w:eastAsia="en-US"/>
    </w:rPr>
  </w:style>
  <w:style w:type="character" w:customStyle="1" w:styleId="Titre9Car">
    <w:name w:val="Titre 9 Car"/>
    <w:basedOn w:val="Policepardfaut"/>
    <w:link w:val="Titre9"/>
    <w:rsid w:val="008C54BD"/>
    <w:rPr>
      <w:rFonts w:ascii="Times New Roman" w:eastAsiaTheme="minorHAnsi" w:hAnsi="Times New Roman" w:cs="Times New Roman"/>
      <w:sz w:val="20"/>
      <w:szCs w:val="20"/>
      <w:lang w:eastAsia="en-US"/>
    </w:rPr>
  </w:style>
  <w:style w:type="paragraph" w:styleId="Textedebulles">
    <w:name w:val="Balloon Text"/>
    <w:basedOn w:val="Normal"/>
    <w:link w:val="TextedebullesCar"/>
    <w:uiPriority w:val="99"/>
    <w:semiHidden/>
    <w:unhideWhenUsed/>
    <w:rsid w:val="000354E9"/>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354E9"/>
    <w:rPr>
      <w:rFonts w:ascii="Tahoma" w:hAnsi="Tahoma" w:cs="Tahoma"/>
      <w:sz w:val="16"/>
      <w:szCs w:val="16"/>
      <w:lang w:eastAsia="en-US"/>
    </w:rPr>
  </w:style>
  <w:style w:type="character" w:customStyle="1" w:styleId="HChGChar">
    <w:name w:val="_ H _Ch_G Char"/>
    <w:link w:val="HChG"/>
    <w:locked/>
    <w:rsid w:val="007341B7"/>
    <w:rPr>
      <w:rFonts w:ascii="Times New Roman" w:eastAsiaTheme="minorHAnsi" w:hAnsi="Times New Roman" w:cs="Times New Roman"/>
      <w:b/>
      <w:sz w:val="28"/>
      <w:szCs w:val="20"/>
      <w:lang w:eastAsia="en-US"/>
    </w:rPr>
  </w:style>
  <w:style w:type="character" w:customStyle="1" w:styleId="H1GChar">
    <w:name w:val="_ H_1_G Char"/>
    <w:link w:val="H1G"/>
    <w:locked/>
    <w:rsid w:val="007341B7"/>
    <w:rPr>
      <w:rFonts w:ascii="Times New Roman" w:eastAsiaTheme="minorHAnsi" w:hAnsi="Times New Roman" w:cs="Times New Roman"/>
      <w:b/>
      <w:sz w:val="24"/>
      <w:szCs w:val="20"/>
      <w:lang w:eastAsia="en-US"/>
    </w:rPr>
  </w:style>
  <w:style w:type="character" w:customStyle="1" w:styleId="H23GChar">
    <w:name w:val="_ H_2/3_G Char"/>
    <w:link w:val="H23G"/>
    <w:locked/>
    <w:rsid w:val="007341B7"/>
    <w:rPr>
      <w:rFonts w:ascii="Times New Roman" w:eastAsiaTheme="minorHAnsi" w:hAnsi="Times New Roman" w:cs="Times New Roman"/>
      <w:b/>
      <w:sz w:val="20"/>
      <w:szCs w:val="20"/>
      <w:lang w:eastAsia="en-US"/>
    </w:rPr>
  </w:style>
  <w:style w:type="paragraph" w:styleId="Rvision">
    <w:name w:val="Revision"/>
    <w:hidden/>
    <w:uiPriority w:val="99"/>
    <w:semiHidden/>
    <w:rsid w:val="00050CF5"/>
    <w:pPr>
      <w:spacing w:after="0" w:line="240" w:lineRule="auto"/>
    </w:pPr>
    <w:rPr>
      <w:rFonts w:ascii="Times New Roman" w:hAnsi="Times New Roman" w:cs="Times New Roman"/>
      <w:sz w:val="20"/>
      <w:szCs w:val="20"/>
      <w:lang w:val="en-GB" w:eastAsia="en-US"/>
    </w:rPr>
  </w:style>
  <w:style w:type="character" w:styleId="Mentionnonrsolue">
    <w:name w:val="Unresolved Mention"/>
    <w:basedOn w:val="Policepardfaut"/>
    <w:uiPriority w:val="99"/>
    <w:semiHidden/>
    <w:unhideWhenUsed/>
    <w:rsid w:val="00050C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84576">
      <w:bodyDiv w:val="1"/>
      <w:marLeft w:val="0"/>
      <w:marRight w:val="0"/>
      <w:marTop w:val="0"/>
      <w:marBottom w:val="0"/>
      <w:divBdr>
        <w:top w:val="none" w:sz="0" w:space="0" w:color="auto"/>
        <w:left w:val="none" w:sz="0" w:space="0" w:color="auto"/>
        <w:bottom w:val="none" w:sz="0" w:space="0" w:color="auto"/>
        <w:right w:val="none" w:sz="0" w:space="0" w:color="auto"/>
      </w:divBdr>
    </w:div>
    <w:div w:id="202180929">
      <w:bodyDiv w:val="1"/>
      <w:marLeft w:val="0"/>
      <w:marRight w:val="0"/>
      <w:marTop w:val="0"/>
      <w:marBottom w:val="0"/>
      <w:divBdr>
        <w:top w:val="none" w:sz="0" w:space="0" w:color="auto"/>
        <w:left w:val="none" w:sz="0" w:space="0" w:color="auto"/>
        <w:bottom w:val="none" w:sz="0" w:space="0" w:color="auto"/>
        <w:right w:val="none" w:sz="0" w:space="0" w:color="auto"/>
      </w:divBdr>
    </w:div>
    <w:div w:id="254435309">
      <w:bodyDiv w:val="1"/>
      <w:marLeft w:val="0"/>
      <w:marRight w:val="0"/>
      <w:marTop w:val="0"/>
      <w:marBottom w:val="0"/>
      <w:divBdr>
        <w:top w:val="none" w:sz="0" w:space="0" w:color="auto"/>
        <w:left w:val="none" w:sz="0" w:space="0" w:color="auto"/>
        <w:bottom w:val="none" w:sz="0" w:space="0" w:color="auto"/>
        <w:right w:val="none" w:sz="0" w:space="0" w:color="auto"/>
      </w:divBdr>
    </w:div>
    <w:div w:id="1116026136">
      <w:bodyDiv w:val="1"/>
      <w:marLeft w:val="0"/>
      <w:marRight w:val="0"/>
      <w:marTop w:val="0"/>
      <w:marBottom w:val="0"/>
      <w:divBdr>
        <w:top w:val="none" w:sz="0" w:space="0" w:color="auto"/>
        <w:left w:val="none" w:sz="0" w:space="0" w:color="auto"/>
        <w:bottom w:val="none" w:sz="0" w:space="0" w:color="auto"/>
        <w:right w:val="none" w:sz="0" w:space="0" w:color="auto"/>
      </w:divBdr>
    </w:div>
    <w:div w:id="1402023926">
      <w:bodyDiv w:val="1"/>
      <w:marLeft w:val="0"/>
      <w:marRight w:val="0"/>
      <w:marTop w:val="0"/>
      <w:marBottom w:val="0"/>
      <w:divBdr>
        <w:top w:val="none" w:sz="0" w:space="0" w:color="auto"/>
        <w:left w:val="none" w:sz="0" w:space="0" w:color="auto"/>
        <w:bottom w:val="none" w:sz="0" w:space="0" w:color="auto"/>
        <w:right w:val="none" w:sz="0" w:space="0" w:color="auto"/>
      </w:divBdr>
    </w:div>
    <w:div w:id="1441026395">
      <w:bodyDiv w:val="1"/>
      <w:marLeft w:val="0"/>
      <w:marRight w:val="0"/>
      <w:marTop w:val="0"/>
      <w:marBottom w:val="0"/>
      <w:divBdr>
        <w:top w:val="none" w:sz="0" w:space="0" w:color="auto"/>
        <w:left w:val="none" w:sz="0" w:space="0" w:color="auto"/>
        <w:bottom w:val="none" w:sz="0" w:space="0" w:color="auto"/>
        <w:right w:val="none" w:sz="0" w:space="0" w:color="auto"/>
      </w:divBdr>
    </w:div>
    <w:div w:id="1533496565">
      <w:bodyDiv w:val="1"/>
      <w:marLeft w:val="0"/>
      <w:marRight w:val="0"/>
      <w:marTop w:val="0"/>
      <w:marBottom w:val="0"/>
      <w:divBdr>
        <w:top w:val="none" w:sz="0" w:space="0" w:color="auto"/>
        <w:left w:val="none" w:sz="0" w:space="0" w:color="auto"/>
        <w:bottom w:val="none" w:sz="0" w:space="0" w:color="auto"/>
        <w:right w:val="none" w:sz="0" w:space="0" w:color="auto"/>
      </w:divBdr>
    </w:div>
    <w:div w:id="2027902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3" Type="http://schemas.openxmlformats.org/officeDocument/2006/relationships/hyperlink" Target="http://undocs.org/en/CRC/C/SR.2703" TargetMode="External"/><Relationship Id="rId2" Type="http://schemas.openxmlformats.org/officeDocument/2006/relationships/hyperlink" Target="http://undocs.org/en/CRC/C/SR.2702" TargetMode="External"/><Relationship Id="rId1" Type="http://schemas.openxmlformats.org/officeDocument/2006/relationships/hyperlink" Target="http://undocs.org/fr/CRC/C/FRA/6-7" TargetMode="External"/><Relationship Id="rId6" Type="http://schemas.openxmlformats.org/officeDocument/2006/relationships/hyperlink" Target="http://undocs.org/fr/CRC/C/58/Rev.3" TargetMode="External"/><Relationship Id="rId5" Type="http://schemas.openxmlformats.org/officeDocument/2006/relationships/hyperlink" Target="http://undocs.org/fr/CRC/C/156" TargetMode="External"/><Relationship Id="rId4" Type="http://schemas.openxmlformats.org/officeDocument/2006/relationships/hyperlink" Target="http://undocs.org/fr/CRC/C/FRA/CO/5"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WORD\OFFICE2016\Templates\CR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66CFE-2085-4382-90DE-09C261294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CRC.dotm</Template>
  <TotalTime>1</TotalTime>
  <Pages>17</Pages>
  <Words>8837</Words>
  <Characters>47812</Characters>
  <Application>Microsoft Office Word</Application>
  <DocSecurity>0</DocSecurity>
  <Lines>796</Lines>
  <Paragraphs>279</Paragraphs>
  <ScaleCrop>false</ScaleCrop>
  <HeadingPairs>
    <vt:vector size="2" baseType="variant">
      <vt:variant>
        <vt:lpstr>Titre</vt:lpstr>
      </vt:variant>
      <vt:variant>
        <vt:i4>1</vt:i4>
      </vt:variant>
    </vt:vector>
  </HeadingPairs>
  <TitlesOfParts>
    <vt:vector size="1" baseType="lpstr">
      <vt:lpstr>CRC/C/FRA/CO/6-7</vt:lpstr>
    </vt:vector>
  </TitlesOfParts>
  <Company>DCM</Company>
  <LinksUpToDate>false</LinksUpToDate>
  <CharactersWithSpaces>56370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CRC/C/FRA/CO/6-7</dc:title>
  <dc:subject/>
  <dc:creator>Corinne ROBERT</dc:creator>
  <cp:keywords/>
  <cp:lastModifiedBy>Corinne Robert</cp:lastModifiedBy>
  <cp:revision>2</cp:revision>
  <cp:lastPrinted>2014-05-14T10:59:00Z</cp:lastPrinted>
  <dcterms:created xsi:type="dcterms:W3CDTF">2024-01-04T09:19:00Z</dcterms:created>
  <dcterms:modified xsi:type="dcterms:W3CDTF">2024-01-04T09:19:00Z</dcterms:modified>
</cp:coreProperties>
</file>