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35AD3" w14:textId="146264D2" w:rsidR="00F57405" w:rsidRPr="00C64330" w:rsidRDefault="00F57405" w:rsidP="00C64330">
      <w:pPr>
        <w:spacing w:before="100" w:beforeAutospacing="1" w:after="100" w:afterAutospacing="1" w:line="240" w:lineRule="auto"/>
        <w:jc w:val="both"/>
        <w:rPr>
          <w:rFonts w:ascii="Garamond" w:eastAsia="Times New Roman" w:hAnsi="Garamond" w:cs="Times New Roman"/>
          <w:color w:val="000000" w:themeColor="text1"/>
          <w:kern w:val="0"/>
          <w:lang w:val="it-IT" w:eastAsia="fr-FR"/>
          <w14:ligatures w14:val="none"/>
        </w:rPr>
      </w:pPr>
      <w:r w:rsidRPr="00C64330">
        <w:rPr>
          <w:rFonts w:ascii="Garamond" w:eastAsia="Times New Roman" w:hAnsi="Garamond" w:cs="Times New Roman"/>
          <w:b/>
          <w:bCs/>
          <w:color w:val="000000" w:themeColor="text1"/>
          <w:kern w:val="0"/>
          <w:lang w:val="it-IT" w:eastAsia="fr-FR"/>
          <w14:ligatures w14:val="none"/>
        </w:rPr>
        <w:br/>
      </w:r>
      <w:r w:rsidR="00C64330">
        <w:rPr>
          <w:rFonts w:ascii="Garamond" w:eastAsia="Times New Roman" w:hAnsi="Garamond" w:cs="Times New Roman"/>
          <w:b/>
          <w:bCs/>
          <w:color w:val="000000" w:themeColor="text1"/>
          <w:kern w:val="0"/>
          <w:lang w:val="it-IT" w:eastAsia="fr-FR"/>
          <w14:ligatures w14:val="none"/>
        </w:rPr>
        <w:t>D</w:t>
      </w:r>
      <w:r w:rsidRPr="00C64330">
        <w:rPr>
          <w:rFonts w:ascii="Garamond" w:eastAsia="Times New Roman" w:hAnsi="Garamond" w:cs="Times New Roman"/>
          <w:b/>
          <w:bCs/>
          <w:color w:val="000000" w:themeColor="text1"/>
          <w:kern w:val="0"/>
          <w:lang w:val="it-IT" w:eastAsia="fr-FR"/>
          <w14:ligatures w14:val="none"/>
        </w:rPr>
        <w:t xml:space="preserve">ichiarazione </w:t>
      </w:r>
      <w:r w:rsidR="00C64330">
        <w:rPr>
          <w:rFonts w:ascii="Garamond" w:eastAsia="Times New Roman" w:hAnsi="Garamond" w:cs="Times New Roman"/>
          <w:b/>
          <w:bCs/>
          <w:color w:val="000000" w:themeColor="text1"/>
          <w:kern w:val="0"/>
          <w:lang w:val="it-IT" w:eastAsia="fr-FR"/>
          <w14:ligatures w14:val="none"/>
        </w:rPr>
        <w:t>“</w:t>
      </w:r>
      <w:r w:rsidRPr="00C64330">
        <w:rPr>
          <w:rFonts w:ascii="Garamond" w:eastAsia="Times New Roman" w:hAnsi="Garamond" w:cs="Times New Roman"/>
          <w:b/>
          <w:bCs/>
          <w:color w:val="000000" w:themeColor="text1"/>
          <w:kern w:val="0"/>
          <w:lang w:val="it-IT" w:eastAsia="fr-FR"/>
          <w14:ligatures w14:val="none"/>
        </w:rPr>
        <w:t>Per lo Stato di diritto</w:t>
      </w:r>
      <w:r w:rsidR="00C64330">
        <w:rPr>
          <w:rFonts w:ascii="Garamond" w:eastAsia="Times New Roman" w:hAnsi="Garamond" w:cs="Times New Roman"/>
          <w:b/>
          <w:bCs/>
          <w:color w:val="000000" w:themeColor="text1"/>
          <w:kern w:val="0"/>
          <w:lang w:val="it-IT" w:eastAsia="fr-FR"/>
          <w14:ligatures w14:val="none"/>
        </w:rPr>
        <w:t>”</w:t>
      </w:r>
    </w:p>
    <w:p w14:paraId="411032F5" w14:textId="77777777" w:rsidR="00F57405" w:rsidRPr="00C64330" w:rsidRDefault="00F57405" w:rsidP="00C64330">
      <w:pPr>
        <w:spacing w:before="100" w:beforeAutospacing="1" w:after="100" w:afterAutospacing="1" w:line="240" w:lineRule="auto"/>
        <w:jc w:val="both"/>
        <w:rPr>
          <w:rFonts w:ascii="Garamond" w:eastAsia="Times New Roman" w:hAnsi="Garamond" w:cs="Times New Roman"/>
          <w:color w:val="000000" w:themeColor="text1"/>
          <w:kern w:val="0"/>
          <w:lang w:val="it-IT" w:eastAsia="fr-FR"/>
          <w14:ligatures w14:val="none"/>
        </w:rPr>
      </w:pPr>
      <w:r w:rsidRPr="00C64330">
        <w:rPr>
          <w:rFonts w:ascii="Garamond" w:eastAsia="Times New Roman" w:hAnsi="Garamond" w:cs="Times New Roman"/>
          <w:b/>
          <w:bCs/>
          <w:color w:val="000000" w:themeColor="text1"/>
          <w:kern w:val="0"/>
          <w:lang w:val="it-IT" w:eastAsia="fr-FR"/>
          <w14:ligatures w14:val="none"/>
        </w:rPr>
        <w:t>(D – 2026 – 1)</w:t>
      </w:r>
    </w:p>
    <w:p w14:paraId="257FC6D5" w14:textId="62999AC4" w:rsidR="00F57405" w:rsidRPr="00C64330" w:rsidRDefault="00F57405" w:rsidP="00C64330">
      <w:pPr>
        <w:spacing w:before="100" w:beforeAutospacing="1" w:after="100" w:afterAutospacing="1" w:line="240" w:lineRule="auto"/>
        <w:jc w:val="both"/>
        <w:rPr>
          <w:rFonts w:ascii="Garamond" w:eastAsia="Times New Roman" w:hAnsi="Garamond" w:cs="Times New Roman"/>
          <w:color w:val="000000" w:themeColor="text1"/>
          <w:kern w:val="0"/>
          <w:lang w:val="it-IT" w:eastAsia="fr-FR"/>
          <w14:ligatures w14:val="none"/>
        </w:rPr>
      </w:pPr>
      <w:r w:rsidRPr="00C64330">
        <w:rPr>
          <w:rFonts w:ascii="Garamond" w:eastAsia="Times New Roman" w:hAnsi="Garamond" w:cs="Times New Roman"/>
          <w:color w:val="000000" w:themeColor="text1"/>
          <w:kern w:val="0"/>
          <w:lang w:val="it-IT" w:eastAsia="fr-FR"/>
          <w14:ligatures w14:val="none"/>
        </w:rPr>
        <w:t>(Assemblea plenaria del 29 gennaio 2026</w:t>
      </w:r>
      <w:r w:rsidR="001B425B" w:rsidRPr="00C64330">
        <w:rPr>
          <w:rFonts w:ascii="Garamond" w:eastAsia="Times New Roman" w:hAnsi="Garamond" w:cs="Times New Roman"/>
          <w:color w:val="000000" w:themeColor="text1"/>
          <w:kern w:val="0"/>
          <w:lang w:val="it-IT" w:eastAsia="fr-FR"/>
          <w14:ligatures w14:val="none"/>
        </w:rPr>
        <w:t>)</w:t>
      </w:r>
    </w:p>
    <w:p w14:paraId="31FBAD73" w14:textId="77777777" w:rsidR="00F57405" w:rsidRPr="00C64330" w:rsidRDefault="00F57405" w:rsidP="00C64330">
      <w:pPr>
        <w:spacing w:before="100" w:beforeAutospacing="1" w:after="100" w:afterAutospacing="1" w:line="240" w:lineRule="auto"/>
        <w:jc w:val="both"/>
        <w:rPr>
          <w:rFonts w:ascii="Garamond" w:eastAsia="Times New Roman" w:hAnsi="Garamond" w:cs="Times New Roman"/>
          <w:color w:val="000000" w:themeColor="text1"/>
          <w:kern w:val="0"/>
          <w:lang w:val="it-IT" w:eastAsia="fr-FR"/>
          <w14:ligatures w14:val="none"/>
        </w:rPr>
      </w:pPr>
    </w:p>
    <w:p w14:paraId="0B5EC244" w14:textId="6A82A1BF" w:rsidR="00F57405" w:rsidRPr="00C64330" w:rsidRDefault="00F57405" w:rsidP="00C64330">
      <w:pPr>
        <w:spacing w:before="100" w:beforeAutospacing="1" w:after="100" w:afterAutospacing="1" w:line="240" w:lineRule="auto"/>
        <w:jc w:val="both"/>
        <w:rPr>
          <w:rFonts w:ascii="Garamond" w:eastAsia="Times New Roman" w:hAnsi="Garamond" w:cs="Times New Roman"/>
          <w:color w:val="000000" w:themeColor="text1"/>
          <w:kern w:val="0"/>
          <w:lang w:val="it-IT" w:eastAsia="fr-FR"/>
          <w14:ligatures w14:val="none"/>
        </w:rPr>
      </w:pPr>
      <w:r w:rsidRPr="00C64330">
        <w:rPr>
          <w:rFonts w:ascii="Garamond" w:eastAsia="Times New Roman" w:hAnsi="Garamond" w:cs="Times New Roman"/>
          <w:color w:val="000000" w:themeColor="text1"/>
          <w:kern w:val="0"/>
          <w:lang w:val="it-IT" w:eastAsia="fr-FR"/>
          <w14:ligatures w14:val="none"/>
        </w:rPr>
        <w:t>1.</w:t>
      </w:r>
      <w:r w:rsidR="001B425B" w:rsidRPr="00C64330">
        <w:rPr>
          <w:rFonts w:ascii="Garamond" w:eastAsia="Times New Roman" w:hAnsi="Garamond" w:cs="Times New Roman"/>
          <w:color w:val="000000" w:themeColor="text1"/>
          <w:kern w:val="0"/>
          <w:lang w:val="it-IT" w:eastAsia="fr-FR"/>
          <w14:ligatures w14:val="none"/>
        </w:rPr>
        <w:t xml:space="preserve"> La Commissione nazionale consultiva per i diritti dell’uomo (</w:t>
      </w:r>
      <w:r w:rsidR="00254B90" w:rsidRPr="00C64330">
        <w:rPr>
          <w:rFonts w:ascii="Garamond" w:eastAsia="Times New Roman" w:hAnsi="Garamond" w:cs="Times New Roman"/>
          <w:color w:val="000000" w:themeColor="text1"/>
          <w:kern w:val="0"/>
          <w:lang w:val="it-IT" w:eastAsia="fr-FR"/>
          <w14:ligatures w14:val="none"/>
        </w:rPr>
        <w:t xml:space="preserve">in francese “Commission </w:t>
      </w:r>
      <w:proofErr w:type="spellStart"/>
      <w:r w:rsidR="00254B90" w:rsidRPr="00C64330">
        <w:rPr>
          <w:rFonts w:ascii="Garamond" w:eastAsia="Times New Roman" w:hAnsi="Garamond" w:cs="Times New Roman"/>
          <w:color w:val="000000" w:themeColor="text1"/>
          <w:kern w:val="0"/>
          <w:lang w:val="it-IT" w:eastAsia="fr-FR"/>
          <w14:ligatures w14:val="none"/>
        </w:rPr>
        <w:t>nationale</w:t>
      </w:r>
      <w:proofErr w:type="spellEnd"/>
      <w:r w:rsidR="00254B90" w:rsidRPr="00C64330">
        <w:rPr>
          <w:rFonts w:ascii="Garamond" w:eastAsia="Times New Roman" w:hAnsi="Garamond" w:cs="Times New Roman"/>
          <w:color w:val="000000" w:themeColor="text1"/>
          <w:kern w:val="0"/>
          <w:lang w:val="it-IT" w:eastAsia="fr-FR"/>
          <w14:ligatures w14:val="none"/>
        </w:rPr>
        <w:t xml:space="preserve"> consultative </w:t>
      </w:r>
      <w:proofErr w:type="spellStart"/>
      <w:r w:rsidR="00254B90" w:rsidRPr="00C64330">
        <w:rPr>
          <w:rFonts w:ascii="Garamond" w:eastAsia="Times New Roman" w:hAnsi="Garamond" w:cs="Times New Roman"/>
          <w:color w:val="000000" w:themeColor="text1"/>
          <w:kern w:val="0"/>
          <w:lang w:val="it-IT" w:eastAsia="fr-FR"/>
          <w14:ligatures w14:val="none"/>
        </w:rPr>
        <w:t>des</w:t>
      </w:r>
      <w:proofErr w:type="spellEnd"/>
      <w:r w:rsidR="00254B90" w:rsidRPr="00C64330">
        <w:rPr>
          <w:rFonts w:ascii="Garamond" w:eastAsia="Times New Roman" w:hAnsi="Garamond" w:cs="Times New Roman"/>
          <w:color w:val="000000" w:themeColor="text1"/>
          <w:kern w:val="0"/>
          <w:lang w:val="it-IT" w:eastAsia="fr-FR"/>
          <w14:ligatures w14:val="none"/>
        </w:rPr>
        <w:t xml:space="preserve"> </w:t>
      </w:r>
      <w:proofErr w:type="spellStart"/>
      <w:r w:rsidR="00254B90" w:rsidRPr="00C64330">
        <w:rPr>
          <w:rFonts w:ascii="Garamond" w:eastAsia="Times New Roman" w:hAnsi="Garamond" w:cs="Times New Roman"/>
          <w:color w:val="000000" w:themeColor="text1"/>
          <w:kern w:val="0"/>
          <w:lang w:val="it-IT" w:eastAsia="fr-FR"/>
          <w14:ligatures w14:val="none"/>
        </w:rPr>
        <w:t>droits</w:t>
      </w:r>
      <w:proofErr w:type="spellEnd"/>
      <w:r w:rsidR="00254B90" w:rsidRPr="00C64330">
        <w:rPr>
          <w:rFonts w:ascii="Garamond" w:eastAsia="Times New Roman" w:hAnsi="Garamond" w:cs="Times New Roman"/>
          <w:color w:val="000000" w:themeColor="text1"/>
          <w:kern w:val="0"/>
          <w:lang w:val="it-IT" w:eastAsia="fr-FR"/>
          <w14:ligatures w14:val="none"/>
        </w:rPr>
        <w:t xml:space="preserve"> de l’</w:t>
      </w:r>
      <w:proofErr w:type="spellStart"/>
      <w:r w:rsidR="00254B90" w:rsidRPr="00C64330">
        <w:rPr>
          <w:rFonts w:ascii="Garamond" w:eastAsia="Times New Roman" w:hAnsi="Garamond" w:cs="Times New Roman"/>
          <w:color w:val="000000" w:themeColor="text1"/>
          <w:kern w:val="0"/>
          <w:lang w:val="it-IT" w:eastAsia="fr-FR"/>
          <w14:ligatures w14:val="none"/>
        </w:rPr>
        <w:t>homme</w:t>
      </w:r>
      <w:proofErr w:type="spellEnd"/>
      <w:r w:rsidR="00254B90" w:rsidRPr="00C64330">
        <w:rPr>
          <w:rFonts w:ascii="Garamond" w:eastAsia="Times New Roman" w:hAnsi="Garamond" w:cs="Times New Roman"/>
          <w:color w:val="000000" w:themeColor="text1"/>
          <w:kern w:val="0"/>
          <w:lang w:val="it-IT" w:eastAsia="fr-FR"/>
          <w14:ligatures w14:val="none"/>
        </w:rPr>
        <w:t xml:space="preserve">”, </w:t>
      </w:r>
      <w:r w:rsidR="001B425B" w:rsidRPr="00C64330">
        <w:rPr>
          <w:rFonts w:ascii="Garamond" w:eastAsia="Times New Roman" w:hAnsi="Garamond" w:cs="Times New Roman"/>
          <w:color w:val="000000" w:themeColor="text1"/>
          <w:kern w:val="0"/>
          <w:lang w:val="it-IT" w:eastAsia="fr-FR"/>
          <w14:ligatures w14:val="none"/>
        </w:rPr>
        <w:t xml:space="preserve">CNCDH), nell'esercizio del proprio mandato di istituzione nazionale per la protezione e la promozione dei diritti umani e della propria missione di educazione ai valori e ai principi </w:t>
      </w:r>
      <w:r w:rsidR="00FC27D3" w:rsidRPr="00C64330">
        <w:rPr>
          <w:rFonts w:ascii="Garamond" w:eastAsia="Times New Roman" w:hAnsi="Garamond" w:cs="Times New Roman"/>
          <w:color w:val="000000" w:themeColor="text1"/>
          <w:kern w:val="0"/>
          <w:lang w:val="it-IT" w:eastAsia="fr-FR"/>
          <w14:ligatures w14:val="none"/>
        </w:rPr>
        <w:t xml:space="preserve">di </w:t>
      </w:r>
      <w:r w:rsidR="001B425B" w:rsidRPr="00C64330">
        <w:rPr>
          <w:rFonts w:ascii="Garamond" w:eastAsia="Times New Roman" w:hAnsi="Garamond" w:cs="Times New Roman"/>
          <w:color w:val="000000" w:themeColor="text1"/>
          <w:kern w:val="0"/>
          <w:lang w:val="it-IT" w:eastAsia="fr-FR"/>
          <w14:ligatures w14:val="none"/>
        </w:rPr>
        <w:t>base dei diritti umani, ha sempre insistito sull'importanza fondamentale dello Stato di diritto in una società pienamente democratica che garantisca</w:t>
      </w:r>
      <w:r w:rsidR="00FC27D3" w:rsidRPr="00C64330">
        <w:rPr>
          <w:rFonts w:ascii="Garamond" w:eastAsia="Times New Roman" w:hAnsi="Garamond" w:cs="Times New Roman"/>
          <w:color w:val="000000" w:themeColor="text1"/>
          <w:kern w:val="0"/>
          <w:lang w:val="it-IT" w:eastAsia="fr-FR"/>
          <w14:ligatures w14:val="none"/>
        </w:rPr>
        <w:t xml:space="preserve"> a </w:t>
      </w:r>
      <w:r w:rsidR="006D745F" w:rsidRPr="00C64330">
        <w:rPr>
          <w:rFonts w:ascii="Garamond" w:eastAsia="Times New Roman" w:hAnsi="Garamond" w:cs="Times New Roman"/>
          <w:color w:val="000000" w:themeColor="text1"/>
          <w:kern w:val="0"/>
          <w:lang w:val="it-IT" w:eastAsia="fr-FR"/>
          <w14:ligatures w14:val="none"/>
        </w:rPr>
        <w:t>ciascuno</w:t>
      </w:r>
      <w:r w:rsidR="00FC27D3" w:rsidRPr="00C64330">
        <w:rPr>
          <w:rFonts w:ascii="Garamond" w:eastAsia="Times New Roman" w:hAnsi="Garamond" w:cs="Times New Roman"/>
          <w:color w:val="000000" w:themeColor="text1"/>
          <w:kern w:val="0"/>
          <w:lang w:val="it-IT" w:eastAsia="fr-FR"/>
          <w14:ligatures w14:val="none"/>
        </w:rPr>
        <w:t xml:space="preserve"> </w:t>
      </w:r>
      <w:r w:rsidR="001B425B" w:rsidRPr="00C64330">
        <w:rPr>
          <w:rFonts w:ascii="Garamond" w:eastAsia="Times New Roman" w:hAnsi="Garamond" w:cs="Times New Roman"/>
          <w:color w:val="000000" w:themeColor="text1"/>
          <w:kern w:val="0"/>
          <w:lang w:val="it-IT" w:eastAsia="fr-FR"/>
          <w14:ligatures w14:val="none"/>
        </w:rPr>
        <w:t>la protezione e il rispetto di tutti i diritti umani.</w:t>
      </w:r>
    </w:p>
    <w:p w14:paraId="788C6000" w14:textId="5351FAF9" w:rsidR="00F57405" w:rsidRPr="00C64330" w:rsidRDefault="00F57405" w:rsidP="00C64330">
      <w:pPr>
        <w:spacing w:before="100" w:beforeAutospacing="1" w:after="100" w:afterAutospacing="1" w:line="240" w:lineRule="auto"/>
        <w:jc w:val="both"/>
        <w:rPr>
          <w:rFonts w:ascii="Garamond" w:eastAsia="Times New Roman" w:hAnsi="Garamond" w:cs="Times New Roman"/>
          <w:color w:val="000000" w:themeColor="text1"/>
          <w:kern w:val="0"/>
          <w:lang w:val="it-IT" w:eastAsia="fr-FR"/>
          <w14:ligatures w14:val="none"/>
        </w:rPr>
      </w:pPr>
      <w:r w:rsidRPr="00C64330">
        <w:rPr>
          <w:rFonts w:ascii="Garamond" w:eastAsia="Times New Roman" w:hAnsi="Garamond" w:cs="Times New Roman"/>
          <w:color w:val="000000" w:themeColor="text1"/>
          <w:kern w:val="0"/>
          <w:lang w:val="it-IT" w:eastAsia="fr-FR"/>
          <w14:ligatures w14:val="none"/>
        </w:rPr>
        <w:t>2</w:t>
      </w:r>
      <w:r w:rsidR="001B425B" w:rsidRPr="00C64330">
        <w:rPr>
          <w:rFonts w:ascii="Garamond" w:eastAsia="Times New Roman" w:hAnsi="Garamond" w:cs="Times New Roman"/>
          <w:color w:val="000000" w:themeColor="text1"/>
          <w:kern w:val="0"/>
          <w:lang w:val="it-IT" w:eastAsia="fr-FR"/>
          <w14:ligatures w14:val="none"/>
        </w:rPr>
        <w:t xml:space="preserve">. In occasione del recente </w:t>
      </w:r>
      <w:r w:rsidR="004B5250" w:rsidRPr="00C64330">
        <w:rPr>
          <w:rFonts w:ascii="Garamond" w:eastAsia="Times New Roman" w:hAnsi="Garamond" w:cs="Times New Roman"/>
          <w:color w:val="000000" w:themeColor="text1"/>
          <w:kern w:val="0"/>
          <w:lang w:val="it-IT" w:eastAsia="fr-FR"/>
          <w14:ligatures w14:val="none"/>
        </w:rPr>
        <w:t>Congresso</w:t>
      </w:r>
      <w:r w:rsidR="001B425B" w:rsidRPr="00C64330">
        <w:rPr>
          <w:rFonts w:ascii="Garamond" w:eastAsia="Times New Roman" w:hAnsi="Garamond" w:cs="Times New Roman"/>
          <w:color w:val="000000" w:themeColor="text1"/>
          <w:kern w:val="0"/>
          <w:lang w:val="it-IT" w:eastAsia="fr-FR"/>
          <w14:ligatures w14:val="none"/>
        </w:rPr>
        <w:t xml:space="preserve"> sui diritti umani, da essa organizzato il 4 novembre 2025</w:t>
      </w:r>
      <w:r w:rsidR="001B425B" w:rsidRPr="00C64330">
        <w:rPr>
          <w:rStyle w:val="Appelnotedebasdep"/>
          <w:rFonts w:ascii="Garamond" w:eastAsia="Times New Roman" w:hAnsi="Garamond" w:cs="Times New Roman"/>
          <w:color w:val="000000" w:themeColor="text1"/>
          <w:kern w:val="0"/>
          <w:lang w:val="it-IT" w:eastAsia="fr-FR"/>
          <w14:ligatures w14:val="none"/>
        </w:rPr>
        <w:footnoteReference w:id="1"/>
      </w:r>
      <w:r w:rsidR="001B425B" w:rsidRPr="00C64330">
        <w:rPr>
          <w:rFonts w:ascii="Garamond" w:eastAsia="Times New Roman" w:hAnsi="Garamond" w:cs="Times New Roman"/>
          <w:color w:val="000000" w:themeColor="text1"/>
          <w:kern w:val="0"/>
          <w:lang w:val="it-IT" w:eastAsia="fr-FR"/>
          <w14:ligatures w14:val="none"/>
        </w:rPr>
        <w:t>, giorno del 75° anniversario della Convenzione per la salvaguardia dei diritti dell'uomo e delle libertà fondamentali, la Commissione ha voluto mettere in luce il concetto multiforme di "Stato di diritto", la sua funzione e la sua importanza per l'intera società. La giornata, intitolata "Per lo Stato di diritto", ha ruotato attorno ai temi della vigilanza e della resistenza. Ha permesso in particolare di ascoltare le domande dei giovani, alcuni dei quali hanno partecipato all'Iniziativa Giovani della CNCDH</w:t>
      </w:r>
      <w:r w:rsidR="001B425B" w:rsidRPr="00C64330">
        <w:rPr>
          <w:rStyle w:val="Appelnotedebasdep"/>
          <w:rFonts w:ascii="Garamond" w:eastAsia="Times New Roman" w:hAnsi="Garamond" w:cs="Times New Roman"/>
          <w:color w:val="000000" w:themeColor="text1"/>
          <w:kern w:val="0"/>
          <w:lang w:val="it-IT" w:eastAsia="fr-FR"/>
          <w14:ligatures w14:val="none"/>
        </w:rPr>
        <w:footnoteReference w:id="2"/>
      </w:r>
      <w:r w:rsidR="001B425B" w:rsidRPr="00C64330">
        <w:rPr>
          <w:rFonts w:ascii="Garamond" w:eastAsia="Times New Roman" w:hAnsi="Garamond" w:cs="Times New Roman"/>
          <w:color w:val="000000" w:themeColor="text1"/>
          <w:kern w:val="0"/>
          <w:lang w:val="it-IT" w:eastAsia="fr-FR"/>
          <w14:ligatures w14:val="none"/>
        </w:rPr>
        <w:t xml:space="preserve">, che si sono interrogati sul concetto stesso di Stato di diritto e sul modo in cui il rispetto di tale principio si concretizza nella vita quotidiana, facendo eco alle domande sollevate dall'assemblea. </w:t>
      </w:r>
      <w:r w:rsidR="004B5250" w:rsidRPr="00C64330">
        <w:rPr>
          <w:rFonts w:ascii="Garamond" w:eastAsia="Times New Roman" w:hAnsi="Garamond" w:cs="Times New Roman"/>
          <w:color w:val="000000" w:themeColor="text1"/>
          <w:kern w:val="0"/>
          <w:lang w:val="it-IT" w:eastAsia="fr-FR"/>
          <w14:ligatures w14:val="none"/>
        </w:rPr>
        <w:t>Il congresso ha</w:t>
      </w:r>
      <w:r w:rsidR="001B425B" w:rsidRPr="00C64330">
        <w:rPr>
          <w:rFonts w:ascii="Garamond" w:eastAsia="Times New Roman" w:hAnsi="Garamond" w:cs="Times New Roman"/>
          <w:color w:val="000000" w:themeColor="text1"/>
          <w:kern w:val="0"/>
          <w:lang w:val="it-IT" w:eastAsia="fr-FR"/>
          <w14:ligatures w14:val="none"/>
        </w:rPr>
        <w:t xml:space="preserve"> anche permesso di condividere le osservazioni e le strategie degli attori della società civile, delle associazioni e delle organizzazioni sindacali che, pur operando in ambiti diversi, affrontano le stesse problematiche e preoccupazioni.</w:t>
      </w:r>
    </w:p>
    <w:p w14:paraId="45DF3CE5" w14:textId="2C0A58FC" w:rsidR="00F57405" w:rsidRPr="00C64330" w:rsidRDefault="00F57405" w:rsidP="00C64330">
      <w:pPr>
        <w:spacing w:before="100" w:beforeAutospacing="1" w:after="100" w:afterAutospacing="1" w:line="240" w:lineRule="auto"/>
        <w:jc w:val="both"/>
        <w:rPr>
          <w:rFonts w:ascii="Garamond" w:eastAsia="Times New Roman" w:hAnsi="Garamond" w:cs="Times New Roman"/>
          <w:color w:val="000000" w:themeColor="text1"/>
          <w:kern w:val="0"/>
          <w:lang w:val="it-IT" w:eastAsia="fr-FR"/>
          <w14:ligatures w14:val="none"/>
        </w:rPr>
      </w:pPr>
      <w:r w:rsidRPr="00C64330">
        <w:rPr>
          <w:rFonts w:ascii="Garamond" w:eastAsia="Times New Roman" w:hAnsi="Garamond" w:cs="Times New Roman"/>
          <w:color w:val="000000" w:themeColor="text1"/>
          <w:kern w:val="0"/>
          <w:lang w:val="it-IT" w:eastAsia="fr-FR"/>
          <w14:ligatures w14:val="none"/>
        </w:rPr>
        <w:t xml:space="preserve">3. </w:t>
      </w:r>
      <w:r w:rsidR="001B425B" w:rsidRPr="00C64330">
        <w:rPr>
          <w:rFonts w:ascii="Garamond" w:eastAsia="Times New Roman" w:hAnsi="Garamond" w:cs="Times New Roman"/>
          <w:color w:val="000000" w:themeColor="text1"/>
          <w:kern w:val="0"/>
          <w:lang w:val="it-IT" w:eastAsia="fr-FR"/>
          <w14:ligatures w14:val="none"/>
        </w:rPr>
        <w:t>Lo Stato di diritto significa che tutte le autorità pubbliche, sia in Francia che nei territori d'oltremare, agiscono nel rispetto della legalità per quanto riguarda l'estensione delle loro competenze e le modalità del loro esercizio. Si basa sul principio di separazione dei poteri, in particolare sull'indipendenza e sull'imparzialità del potere giudiziario, nonché sulla gerarchia delle norme. Implica inoltre che l'azione pubblica sia guidata dai valori democratici, al fine di garantire l'uguaglianza di tutti di fronte alla legge e il rispetto di tutti i diritti umani, nella loro indivisibilità e interdipendenza, siano essi civili, politici, economici, sociali, culturali o ambientali, senza alcuna discriminazione.</w:t>
      </w:r>
    </w:p>
    <w:p w14:paraId="3D393D2A" w14:textId="240491F1" w:rsidR="001B425B" w:rsidRPr="00C64330" w:rsidRDefault="00F57405" w:rsidP="00C64330">
      <w:pPr>
        <w:spacing w:before="100" w:beforeAutospacing="1" w:after="100" w:afterAutospacing="1" w:line="240" w:lineRule="auto"/>
        <w:jc w:val="both"/>
        <w:rPr>
          <w:rFonts w:ascii="Garamond" w:eastAsia="Times New Roman" w:hAnsi="Garamond" w:cs="Times New Roman"/>
          <w:color w:val="000000" w:themeColor="text1"/>
          <w:kern w:val="0"/>
          <w:lang w:val="it-IT" w:eastAsia="fr-FR"/>
          <w14:ligatures w14:val="none"/>
        </w:rPr>
      </w:pPr>
      <w:r w:rsidRPr="00C64330">
        <w:rPr>
          <w:rFonts w:ascii="Garamond" w:eastAsia="Times New Roman" w:hAnsi="Garamond" w:cs="Times New Roman"/>
          <w:color w:val="000000" w:themeColor="text1"/>
          <w:kern w:val="0"/>
          <w:lang w:val="it-IT" w:eastAsia="fr-FR"/>
          <w14:ligatures w14:val="none"/>
        </w:rPr>
        <w:t xml:space="preserve">4. La sottomissione dello Stato allo Stato di diritto determina il quadro entro il quale la sua azione può essere condotta in modo giusto e legittimo, ricordando che legalità e legittimità non possono essere confuse. </w:t>
      </w:r>
      <w:r w:rsidR="001B425B" w:rsidRPr="00C64330">
        <w:rPr>
          <w:rFonts w:ascii="Garamond" w:eastAsia="Times New Roman" w:hAnsi="Garamond" w:cs="Times New Roman"/>
          <w:color w:val="000000" w:themeColor="text1"/>
          <w:kern w:val="0"/>
          <w:lang w:val="it-IT" w:eastAsia="fr-FR"/>
          <w14:ligatures w14:val="none"/>
        </w:rPr>
        <w:t>Essa protegge dall'arbitrarietà, dalle derive autoritarie e da tutte le forme di odio, razzismo e antisemitismo, nonché dal rifiuto dell'altro.</w:t>
      </w:r>
    </w:p>
    <w:p w14:paraId="756D06B3" w14:textId="5ACDE3FB" w:rsidR="00F57405" w:rsidRPr="00C64330" w:rsidRDefault="001B425B" w:rsidP="00C64330">
      <w:pPr>
        <w:spacing w:before="100" w:beforeAutospacing="1" w:after="100" w:afterAutospacing="1" w:line="240" w:lineRule="auto"/>
        <w:jc w:val="both"/>
        <w:rPr>
          <w:rFonts w:ascii="Garamond" w:eastAsia="Times New Roman" w:hAnsi="Garamond" w:cs="Times New Roman"/>
          <w:color w:val="000000" w:themeColor="text1"/>
          <w:kern w:val="0"/>
          <w:lang w:val="it-IT" w:eastAsia="fr-FR"/>
          <w14:ligatures w14:val="none"/>
        </w:rPr>
      </w:pPr>
      <w:r w:rsidRPr="00C64330">
        <w:rPr>
          <w:rFonts w:ascii="Garamond" w:eastAsia="Times New Roman" w:hAnsi="Garamond" w:cs="Times New Roman"/>
          <w:color w:val="000000" w:themeColor="text1"/>
          <w:kern w:val="0"/>
          <w:lang w:val="it-IT" w:eastAsia="fr-FR"/>
          <w14:ligatures w14:val="none"/>
        </w:rPr>
        <w:t xml:space="preserve">5. </w:t>
      </w:r>
      <w:r w:rsidR="007D2783" w:rsidRPr="00C64330">
        <w:rPr>
          <w:rFonts w:ascii="Garamond" w:eastAsia="Times New Roman" w:hAnsi="Garamond" w:cs="Times New Roman"/>
          <w:color w:val="000000" w:themeColor="text1"/>
          <w:kern w:val="0"/>
          <w:lang w:val="it-IT" w:eastAsia="fr-FR"/>
          <w14:ligatures w14:val="none"/>
        </w:rPr>
        <w:t xml:space="preserve">Conseguito </w:t>
      </w:r>
      <w:r w:rsidRPr="00C64330">
        <w:rPr>
          <w:rFonts w:ascii="Garamond" w:eastAsia="Times New Roman" w:hAnsi="Garamond" w:cs="Times New Roman"/>
          <w:color w:val="000000" w:themeColor="text1"/>
          <w:kern w:val="0"/>
          <w:lang w:val="it-IT" w:eastAsia="fr-FR"/>
          <w14:ligatures w14:val="none"/>
        </w:rPr>
        <w:t>a fatica nel corso della lunga storia della lotta contro l'autoritarismo, lo Stato di diritto è una preziosa conquista delle generazioni precedenti. Spetta a noi preservarlo e mantenerlo vivo per proteggere il presente e il futuro, le donne e gli uomini di oggi e di domani.</w:t>
      </w:r>
    </w:p>
    <w:p w14:paraId="7F34EA38" w14:textId="77777777" w:rsidR="008E11BF" w:rsidRPr="00C64330" w:rsidRDefault="008E11BF" w:rsidP="00C64330">
      <w:pPr>
        <w:spacing w:before="100" w:beforeAutospacing="1" w:after="100" w:afterAutospacing="1" w:line="240" w:lineRule="auto"/>
        <w:jc w:val="both"/>
        <w:outlineLvl w:val="1"/>
        <w:rPr>
          <w:rFonts w:ascii="Garamond" w:eastAsia="Times New Roman" w:hAnsi="Garamond" w:cs="Times New Roman"/>
          <w:b/>
          <w:bCs/>
          <w:color w:val="000000" w:themeColor="text1"/>
          <w:kern w:val="0"/>
          <w:lang w:val="it-IT" w:eastAsia="fr-FR"/>
          <w14:ligatures w14:val="none"/>
        </w:rPr>
      </w:pPr>
    </w:p>
    <w:p w14:paraId="7953D27D" w14:textId="38D28494" w:rsidR="001B425B" w:rsidRPr="00C64330" w:rsidRDefault="00F57405" w:rsidP="00C64330">
      <w:pPr>
        <w:spacing w:before="100" w:beforeAutospacing="1" w:after="100" w:afterAutospacing="1" w:line="240" w:lineRule="auto"/>
        <w:jc w:val="both"/>
        <w:outlineLvl w:val="1"/>
        <w:rPr>
          <w:rFonts w:ascii="Garamond" w:eastAsia="Times New Roman" w:hAnsi="Garamond" w:cs="Times New Roman"/>
          <w:b/>
          <w:bCs/>
          <w:color w:val="000000" w:themeColor="text1"/>
          <w:kern w:val="0"/>
          <w:lang w:val="it-IT" w:eastAsia="fr-FR"/>
          <w14:ligatures w14:val="none"/>
        </w:rPr>
      </w:pPr>
      <w:r w:rsidRPr="00C64330">
        <w:rPr>
          <w:rFonts w:ascii="Garamond" w:eastAsia="Times New Roman" w:hAnsi="Garamond" w:cs="Times New Roman"/>
          <w:b/>
          <w:bCs/>
          <w:color w:val="000000" w:themeColor="text1"/>
          <w:kern w:val="0"/>
          <w:lang w:val="it-IT" w:eastAsia="fr-FR"/>
          <w14:ligatures w14:val="none"/>
        </w:rPr>
        <w:lastRenderedPageBreak/>
        <w:t>I- Per una vigilanza costante e attiva</w:t>
      </w:r>
    </w:p>
    <w:p w14:paraId="5A2DDAC8" w14:textId="1FBF02EB" w:rsidR="00F57405" w:rsidRPr="00C64330" w:rsidRDefault="001B425B" w:rsidP="00C64330">
      <w:pPr>
        <w:spacing w:before="100" w:beforeAutospacing="1" w:after="100" w:afterAutospacing="1" w:line="240" w:lineRule="auto"/>
        <w:jc w:val="both"/>
        <w:rPr>
          <w:rFonts w:ascii="Garamond" w:eastAsia="Times New Roman" w:hAnsi="Garamond" w:cs="Times New Roman"/>
          <w:color w:val="000000" w:themeColor="text1"/>
          <w:kern w:val="0"/>
          <w:lang w:val="it-IT" w:eastAsia="fr-FR"/>
          <w14:ligatures w14:val="none"/>
        </w:rPr>
      </w:pPr>
      <w:r w:rsidRPr="00C64330">
        <w:rPr>
          <w:rFonts w:ascii="Garamond" w:eastAsia="Times New Roman" w:hAnsi="Garamond" w:cs="Times New Roman"/>
          <w:color w:val="000000" w:themeColor="text1"/>
          <w:kern w:val="0"/>
          <w:lang w:val="it-IT" w:eastAsia="fr-FR"/>
          <w14:ligatures w14:val="none"/>
        </w:rPr>
        <w:t>6. Durante il convegno, gli interventi hanno confermato le conclusioni della CNCDH: le minacce e le violazioni dello Stato di diritto sono in aumento. Queste minacce e violazioni attraversano l'intera società, indebolendone le fondamenta democratiche.</w:t>
      </w:r>
    </w:p>
    <w:p w14:paraId="26FF5D71" w14:textId="65FCBE77" w:rsidR="00F57405" w:rsidRPr="00C64330" w:rsidRDefault="00F57405" w:rsidP="00C64330">
      <w:pPr>
        <w:spacing w:before="100" w:beforeAutospacing="1" w:after="100" w:afterAutospacing="1" w:line="240" w:lineRule="auto"/>
        <w:jc w:val="both"/>
        <w:rPr>
          <w:rFonts w:ascii="Garamond" w:eastAsia="Times New Roman" w:hAnsi="Garamond" w:cs="Times New Roman"/>
          <w:color w:val="000000" w:themeColor="text1"/>
          <w:kern w:val="0"/>
          <w:lang w:val="it-IT" w:eastAsia="fr-FR"/>
          <w14:ligatures w14:val="none"/>
        </w:rPr>
      </w:pPr>
      <w:r w:rsidRPr="00C64330">
        <w:rPr>
          <w:rFonts w:ascii="Garamond" w:eastAsia="Times New Roman" w:hAnsi="Garamond" w:cs="Times New Roman"/>
          <w:color w:val="000000" w:themeColor="text1"/>
          <w:kern w:val="0"/>
          <w:lang w:val="it-IT" w:eastAsia="fr-FR"/>
          <w14:ligatures w14:val="none"/>
        </w:rPr>
        <w:t xml:space="preserve">7. </w:t>
      </w:r>
      <w:r w:rsidR="001B425B" w:rsidRPr="00C64330">
        <w:rPr>
          <w:rFonts w:ascii="Garamond" w:eastAsia="Times New Roman" w:hAnsi="Garamond" w:cs="Times New Roman"/>
          <w:color w:val="000000" w:themeColor="text1"/>
          <w:kern w:val="0"/>
          <w:lang w:val="it-IT" w:eastAsia="fr-FR"/>
          <w14:ligatures w14:val="none"/>
        </w:rPr>
        <w:t>La messa in discussione dello Stato di diritto si traduce in una riduzione dello spazio civico</w:t>
      </w:r>
      <w:r w:rsidR="001B425B" w:rsidRPr="00C64330">
        <w:rPr>
          <w:rStyle w:val="Appelnotedebasdep"/>
          <w:rFonts w:ascii="Garamond" w:eastAsia="Times New Roman" w:hAnsi="Garamond" w:cs="Times New Roman"/>
          <w:color w:val="000000" w:themeColor="text1"/>
          <w:kern w:val="0"/>
          <w:lang w:val="it-IT" w:eastAsia="fr-FR"/>
          <w14:ligatures w14:val="none"/>
        </w:rPr>
        <w:footnoteReference w:id="3"/>
      </w:r>
      <w:r w:rsidR="001B425B" w:rsidRPr="00C64330">
        <w:rPr>
          <w:rFonts w:ascii="Garamond" w:eastAsia="Times New Roman" w:hAnsi="Garamond" w:cs="Times New Roman"/>
          <w:color w:val="000000" w:themeColor="text1"/>
          <w:kern w:val="0"/>
          <w:lang w:val="it-IT" w:eastAsia="fr-FR"/>
          <w14:ligatures w14:val="none"/>
        </w:rPr>
        <w:t xml:space="preserve"> e in un arretramento dei diritti umani, dando inizio a un circolo vizioso preoccupante. I metodi utilizzati contro i difensori dei diritti umani e dell'ambiente, nonché contro gli operatori umanitari e della solidarietà internazionale, violano il diritto di manifestare, garantito dal diritto internazionale, in particolare attraverso la crescente criminalizzazione della disobbedienza civile e l'uso di </w:t>
      </w:r>
      <w:r w:rsidR="00254B90" w:rsidRPr="00C64330">
        <w:rPr>
          <w:rFonts w:ascii="Garamond" w:eastAsia="Times New Roman" w:hAnsi="Garamond" w:cs="Times New Roman"/>
          <w:color w:val="000000" w:themeColor="text1"/>
          <w:kern w:val="0"/>
          <w:lang w:val="it-IT" w:eastAsia="fr-FR"/>
          <w14:ligatures w14:val="none"/>
        </w:rPr>
        <w:t>qualificazione giuridica</w:t>
      </w:r>
      <w:r w:rsidR="007D2783" w:rsidRPr="00C64330">
        <w:rPr>
          <w:rFonts w:ascii="Garamond" w:eastAsia="Times New Roman" w:hAnsi="Garamond" w:cs="Times New Roman"/>
          <w:color w:val="000000" w:themeColor="text1"/>
          <w:kern w:val="0"/>
          <w:lang w:val="it-IT" w:eastAsia="fr-FR"/>
          <w14:ligatures w14:val="none"/>
        </w:rPr>
        <w:t xml:space="preserve"> </w:t>
      </w:r>
      <w:r w:rsidR="001B425B" w:rsidRPr="00C64330">
        <w:rPr>
          <w:rFonts w:ascii="Garamond" w:eastAsia="Times New Roman" w:hAnsi="Garamond" w:cs="Times New Roman"/>
          <w:color w:val="000000" w:themeColor="text1"/>
          <w:kern w:val="0"/>
          <w:lang w:val="it-IT" w:eastAsia="fr-FR"/>
          <w14:ligatures w14:val="none"/>
        </w:rPr>
        <w:t>sproporzionat</w:t>
      </w:r>
      <w:r w:rsidR="00254B90" w:rsidRPr="00C64330">
        <w:rPr>
          <w:rFonts w:ascii="Garamond" w:eastAsia="Times New Roman" w:hAnsi="Garamond" w:cs="Times New Roman"/>
          <w:color w:val="000000" w:themeColor="text1"/>
          <w:kern w:val="0"/>
          <w:lang w:val="it-IT" w:eastAsia="fr-FR"/>
          <w14:ligatures w14:val="none"/>
        </w:rPr>
        <w:t>a</w:t>
      </w:r>
      <w:r w:rsidR="001B425B" w:rsidRPr="00C64330">
        <w:rPr>
          <w:rFonts w:ascii="Garamond" w:eastAsia="Times New Roman" w:hAnsi="Garamond" w:cs="Times New Roman"/>
          <w:color w:val="000000" w:themeColor="text1"/>
          <w:kern w:val="0"/>
          <w:lang w:val="it-IT" w:eastAsia="fr-FR"/>
          <w14:ligatures w14:val="none"/>
        </w:rPr>
        <w:t xml:space="preserve"> per reprimere le azioni </w:t>
      </w:r>
      <w:r w:rsidR="007D2783" w:rsidRPr="00C64330">
        <w:rPr>
          <w:rFonts w:ascii="Garamond" w:eastAsia="Times New Roman" w:hAnsi="Garamond" w:cs="Times New Roman"/>
          <w:color w:val="000000" w:themeColor="text1"/>
          <w:kern w:val="0"/>
          <w:lang w:val="it-IT" w:eastAsia="fr-FR"/>
          <w14:ligatures w14:val="none"/>
        </w:rPr>
        <w:t xml:space="preserve">non violente dei </w:t>
      </w:r>
      <w:r w:rsidR="001B425B" w:rsidRPr="00C64330">
        <w:rPr>
          <w:rFonts w:ascii="Garamond" w:eastAsia="Times New Roman" w:hAnsi="Garamond" w:cs="Times New Roman"/>
          <w:color w:val="000000" w:themeColor="text1"/>
          <w:kern w:val="0"/>
          <w:lang w:val="it-IT" w:eastAsia="fr-FR"/>
          <w14:ligatures w14:val="none"/>
        </w:rPr>
        <w:t>militanti. Le ritorsioni contro gli informatori e le procedure di censura</w:t>
      </w:r>
      <w:r w:rsidR="001B425B" w:rsidRPr="00C64330">
        <w:rPr>
          <w:rStyle w:val="Appelnotedebasdep"/>
          <w:rFonts w:ascii="Garamond" w:eastAsia="Times New Roman" w:hAnsi="Garamond" w:cs="Times New Roman"/>
          <w:color w:val="000000" w:themeColor="text1"/>
          <w:kern w:val="0"/>
          <w:lang w:val="it-IT" w:eastAsia="fr-FR"/>
          <w14:ligatures w14:val="none"/>
        </w:rPr>
        <w:footnoteReference w:id="4"/>
      </w:r>
      <w:r w:rsidR="001B425B" w:rsidRPr="00C64330">
        <w:rPr>
          <w:rFonts w:ascii="Garamond" w:eastAsia="Times New Roman" w:hAnsi="Garamond" w:cs="Times New Roman"/>
          <w:color w:val="000000" w:themeColor="text1"/>
          <w:kern w:val="0"/>
          <w:lang w:val="it-IT" w:eastAsia="fr-FR"/>
          <w14:ligatures w14:val="none"/>
        </w:rPr>
        <w:t xml:space="preserve">, utilizzate da attori privati o pubblici per mettere a tacere chi partecipa al dibattito pubblico, compromettono la libertà di espressione. </w:t>
      </w:r>
      <w:r w:rsidR="001B425B" w:rsidRPr="00C64330">
        <w:rPr>
          <w:rFonts w:ascii="Garamond" w:eastAsia="Times New Roman" w:hAnsi="Garamond" w:cs="Times New Roman"/>
          <w:color w:val="000000" w:themeColor="text1"/>
          <w:kern w:val="0"/>
          <w:u w:val="single"/>
          <w:vertAlign w:val="superscript"/>
          <w:lang w:val="it-IT" w:eastAsia="fr-FR"/>
          <w14:ligatures w14:val="none"/>
        </w:rPr>
        <w:t xml:space="preserve"> </w:t>
      </w:r>
    </w:p>
    <w:p w14:paraId="03E0B764" w14:textId="4B1AD557" w:rsidR="00F57405" w:rsidRPr="00C64330" w:rsidRDefault="00F57405" w:rsidP="00C64330">
      <w:pPr>
        <w:spacing w:before="100" w:beforeAutospacing="1" w:after="100" w:afterAutospacing="1" w:line="240" w:lineRule="auto"/>
        <w:jc w:val="both"/>
        <w:rPr>
          <w:rFonts w:ascii="Garamond" w:eastAsia="Times New Roman" w:hAnsi="Garamond" w:cs="Times New Roman"/>
          <w:color w:val="000000" w:themeColor="text1"/>
          <w:kern w:val="0"/>
          <w:lang w:val="it-IT" w:eastAsia="fr-FR"/>
          <w14:ligatures w14:val="none"/>
        </w:rPr>
      </w:pPr>
      <w:r w:rsidRPr="00C64330">
        <w:rPr>
          <w:rFonts w:ascii="Garamond" w:eastAsia="Times New Roman" w:hAnsi="Garamond" w:cs="Times New Roman"/>
          <w:color w:val="000000" w:themeColor="text1"/>
          <w:kern w:val="0"/>
          <w:lang w:val="it-IT" w:eastAsia="fr-FR"/>
          <w14:ligatures w14:val="none"/>
        </w:rPr>
        <w:t xml:space="preserve">8. </w:t>
      </w:r>
      <w:r w:rsidR="001B425B" w:rsidRPr="00C64330">
        <w:rPr>
          <w:rFonts w:ascii="Garamond" w:eastAsia="Times New Roman" w:hAnsi="Garamond" w:cs="Times New Roman"/>
          <w:color w:val="000000" w:themeColor="text1"/>
          <w:kern w:val="0"/>
          <w:lang w:val="it-IT" w:eastAsia="fr-FR"/>
          <w14:ligatures w14:val="none"/>
        </w:rPr>
        <w:t>Inoltre, dopo le Olimpiadi e le Paralimpiadi del 2024</w:t>
      </w:r>
      <w:r w:rsidR="001B425B" w:rsidRPr="00C64330">
        <w:rPr>
          <w:rStyle w:val="Appelnotedebasdep"/>
          <w:rFonts w:ascii="Garamond" w:eastAsia="Times New Roman" w:hAnsi="Garamond" w:cs="Times New Roman"/>
          <w:color w:val="000000" w:themeColor="text1"/>
          <w:kern w:val="0"/>
          <w:lang w:val="it-IT" w:eastAsia="fr-FR"/>
          <w14:ligatures w14:val="none"/>
        </w:rPr>
        <w:footnoteReference w:id="5"/>
      </w:r>
      <w:r w:rsidR="001B425B" w:rsidRPr="00C64330">
        <w:rPr>
          <w:rFonts w:ascii="Garamond" w:eastAsia="Times New Roman" w:hAnsi="Garamond" w:cs="Times New Roman"/>
          <w:color w:val="000000" w:themeColor="text1"/>
          <w:kern w:val="0"/>
          <w:lang w:val="it-IT" w:eastAsia="fr-FR"/>
          <w14:ligatures w14:val="none"/>
        </w:rPr>
        <w:t>, la CNCDH è preoccupata per i rischi che incombono sullo Stato di diritto a causa dello sviluppo di tecnologie di sorveglianza, dell'uso massiccio di dati personali da parte delle autorità pubbliche e degli organismi privati e dell'introduzione di sistemi algoritmici opachi nel processo decisionale amministrativo che possono generare nuove forme di discriminazione e arbitrarietà.</w:t>
      </w:r>
    </w:p>
    <w:p w14:paraId="0A5D626B" w14:textId="0F899217" w:rsidR="00F57405" w:rsidRPr="00C64330" w:rsidRDefault="00F57405" w:rsidP="00C64330">
      <w:pPr>
        <w:spacing w:before="100" w:beforeAutospacing="1" w:after="100" w:afterAutospacing="1" w:line="240" w:lineRule="auto"/>
        <w:jc w:val="both"/>
        <w:rPr>
          <w:rFonts w:ascii="Garamond" w:eastAsia="Times New Roman" w:hAnsi="Garamond" w:cs="Times New Roman"/>
          <w:color w:val="000000" w:themeColor="text1"/>
          <w:kern w:val="0"/>
          <w:lang w:val="it-IT" w:eastAsia="fr-FR"/>
          <w14:ligatures w14:val="none"/>
        </w:rPr>
      </w:pPr>
      <w:r w:rsidRPr="00C64330">
        <w:rPr>
          <w:rFonts w:ascii="Garamond" w:eastAsia="Times New Roman" w:hAnsi="Garamond" w:cs="Times New Roman"/>
          <w:color w:val="000000" w:themeColor="text1"/>
          <w:kern w:val="0"/>
          <w:lang w:val="it-IT" w:eastAsia="fr-FR"/>
          <w14:ligatures w14:val="none"/>
        </w:rPr>
        <w:t xml:space="preserve">9. </w:t>
      </w:r>
      <w:r w:rsidR="001B425B" w:rsidRPr="00C64330">
        <w:rPr>
          <w:rFonts w:ascii="Garamond" w:eastAsia="Times New Roman" w:hAnsi="Garamond" w:cs="Times New Roman"/>
          <w:color w:val="000000" w:themeColor="text1"/>
          <w:kern w:val="0"/>
          <w:lang w:val="it-IT" w:eastAsia="fr-FR"/>
          <w14:ligatures w14:val="none"/>
        </w:rPr>
        <w:t>Anche il ricorso a leggi d'eccezione</w:t>
      </w:r>
      <w:r w:rsidR="001B425B" w:rsidRPr="00C64330">
        <w:rPr>
          <w:rStyle w:val="Appelnotedebasdep"/>
          <w:rFonts w:ascii="Garamond" w:eastAsia="Times New Roman" w:hAnsi="Garamond" w:cs="Times New Roman"/>
          <w:color w:val="000000" w:themeColor="text1"/>
          <w:kern w:val="0"/>
          <w:lang w:val="it-IT" w:eastAsia="fr-FR"/>
          <w14:ligatures w14:val="none"/>
        </w:rPr>
        <w:footnoteReference w:id="6"/>
      </w:r>
      <w:r w:rsidR="001B425B" w:rsidRPr="00C64330">
        <w:rPr>
          <w:rFonts w:ascii="Garamond" w:eastAsia="Times New Roman" w:hAnsi="Garamond" w:cs="Times New Roman"/>
          <w:color w:val="000000" w:themeColor="text1"/>
          <w:kern w:val="0"/>
          <w:lang w:val="it-IT" w:eastAsia="fr-FR"/>
          <w14:ligatures w14:val="none"/>
        </w:rPr>
        <w:t>, al di fuori di situazioni di emergenza, contribuisce a limitare lo spazio civico. Dispositivi concepiti per crisi specifiche vengono integrati in modo permanente nel diritto comune, indebolendo i contrappesi e limitando la libertà di espressione. In questo contesto, le garanzie dello Stato perdono di efficacia e le istituzioni vengono aggirate, come è successo durante la pandemia di Covid-19.</w:t>
      </w:r>
      <w:r w:rsidR="001B425B" w:rsidRPr="00C64330">
        <w:rPr>
          <w:rStyle w:val="Appelnotedebasdep"/>
          <w:rFonts w:ascii="Garamond" w:eastAsia="Times New Roman" w:hAnsi="Garamond" w:cs="Times New Roman"/>
          <w:color w:val="000000" w:themeColor="text1"/>
          <w:kern w:val="0"/>
          <w:lang w:val="it-IT" w:eastAsia="fr-FR"/>
          <w14:ligatures w14:val="none"/>
        </w:rPr>
        <w:footnoteReference w:id="7"/>
      </w:r>
    </w:p>
    <w:p w14:paraId="7C64756A" w14:textId="363FB31D" w:rsidR="008C41B6" w:rsidRPr="00C64330" w:rsidRDefault="008C41B6" w:rsidP="00C64330">
      <w:pPr>
        <w:spacing w:before="100" w:beforeAutospacing="1" w:after="100" w:afterAutospacing="1" w:line="240" w:lineRule="auto"/>
        <w:jc w:val="both"/>
        <w:rPr>
          <w:rFonts w:ascii="Garamond" w:eastAsia="Times New Roman" w:hAnsi="Garamond" w:cs="Times New Roman"/>
          <w:color w:val="000000" w:themeColor="text1"/>
          <w:kern w:val="0"/>
          <w:lang w:val="it-IT" w:eastAsia="fr-FR"/>
          <w14:ligatures w14:val="none"/>
        </w:rPr>
      </w:pPr>
      <w:r w:rsidRPr="00C64330">
        <w:rPr>
          <w:rFonts w:ascii="Garamond" w:eastAsia="Times New Roman" w:hAnsi="Garamond" w:cs="Times New Roman"/>
          <w:color w:val="000000" w:themeColor="text1"/>
          <w:kern w:val="0"/>
          <w:lang w:val="it-IT" w:eastAsia="fr-FR"/>
          <w14:ligatures w14:val="none"/>
        </w:rPr>
        <w:t>10. Per consentire ai giornalisti e ai media di svolgere il loro ruolo essenziale di vigilanza e di allerta di fronte alle violazioni dello Stato di diritto, è importante che la legge garantisca l'indipendenza dei media, anche editoriale, e la protezione delle fonti, nonché l'accesso ai documenti pubblici. Ciò è tanto più necessario in quanto lo sviluppo dei social network non è ancora accompagnato da una regolamentazione sufficiente che li obblighi a rispettare lo Stato di diritto, al fine di proteggere il dibattito democratico.</w:t>
      </w:r>
      <w:r w:rsidRPr="00C64330">
        <w:rPr>
          <w:rStyle w:val="Appelnotedebasdep"/>
          <w:rFonts w:ascii="Garamond" w:eastAsia="Times New Roman" w:hAnsi="Garamond" w:cs="Times New Roman"/>
          <w:color w:val="000000" w:themeColor="text1"/>
          <w:kern w:val="0"/>
          <w:lang w:val="it-IT" w:eastAsia="fr-FR"/>
          <w14:ligatures w14:val="none"/>
        </w:rPr>
        <w:footnoteReference w:id="8"/>
      </w:r>
    </w:p>
    <w:p w14:paraId="569CB839" w14:textId="34F966EF" w:rsidR="00F57405" w:rsidRPr="00C64330" w:rsidRDefault="008C41B6" w:rsidP="00C64330">
      <w:pPr>
        <w:spacing w:before="100" w:beforeAutospacing="1" w:after="100" w:afterAutospacing="1" w:line="240" w:lineRule="auto"/>
        <w:jc w:val="both"/>
        <w:rPr>
          <w:rFonts w:ascii="Garamond" w:eastAsia="Times New Roman" w:hAnsi="Garamond" w:cs="Times New Roman"/>
          <w:color w:val="000000" w:themeColor="text1"/>
          <w:kern w:val="0"/>
          <w:lang w:val="it-IT" w:eastAsia="fr-FR"/>
          <w14:ligatures w14:val="none"/>
        </w:rPr>
      </w:pPr>
      <w:r w:rsidRPr="00C64330">
        <w:rPr>
          <w:rFonts w:ascii="Garamond" w:eastAsia="Times New Roman" w:hAnsi="Garamond" w:cs="Times New Roman"/>
          <w:color w:val="000000" w:themeColor="text1"/>
          <w:kern w:val="0"/>
          <w:lang w:val="it-IT" w:eastAsia="fr-FR"/>
          <w14:ligatures w14:val="none"/>
        </w:rPr>
        <w:t xml:space="preserve">11. Le autorità amministrative indipendenti, come il Difensore dei diritti, il Controllore generale dei luoghi di privazione della libertà, la Commissione nazionale per l'informatica e le libertà, la Commissione per l'accesso ai documenti amministrativi e l'Autorità di regolamentazione della comunicazione audiovisiva e digitale, costituiscono dei baluardi essenziali per lo Stato di diritto. La </w:t>
      </w:r>
      <w:r w:rsidRPr="00C64330">
        <w:rPr>
          <w:rFonts w:ascii="Garamond" w:eastAsia="Times New Roman" w:hAnsi="Garamond" w:cs="Times New Roman"/>
          <w:color w:val="000000" w:themeColor="text1"/>
          <w:kern w:val="0"/>
          <w:lang w:val="it-IT" w:eastAsia="fr-FR"/>
          <w14:ligatures w14:val="none"/>
        </w:rPr>
        <w:lastRenderedPageBreak/>
        <w:t>loro azione ci ricorda un requisito fondamentale: i diritti umani devono essere garantiti a tutti. Infatti, mettere in discussione i diritti delle persone più vulnerabili indebolisce il tessuto sociale e preannuncia sempre un indebolimento dei diritti di tutti.</w:t>
      </w:r>
    </w:p>
    <w:p w14:paraId="1CA92CC4" w14:textId="38EB4EED" w:rsidR="00F57405" w:rsidRPr="00C64330" w:rsidRDefault="00F57405" w:rsidP="00C64330">
      <w:pPr>
        <w:spacing w:before="100" w:beforeAutospacing="1" w:after="100" w:afterAutospacing="1" w:line="240" w:lineRule="auto"/>
        <w:jc w:val="both"/>
        <w:rPr>
          <w:rFonts w:ascii="Garamond" w:eastAsia="Times New Roman" w:hAnsi="Garamond" w:cs="Times New Roman"/>
          <w:color w:val="000000" w:themeColor="text1"/>
          <w:kern w:val="0"/>
          <w:lang w:val="it-IT" w:eastAsia="fr-FR"/>
          <w14:ligatures w14:val="none"/>
        </w:rPr>
      </w:pPr>
      <w:r w:rsidRPr="00C64330">
        <w:rPr>
          <w:rFonts w:ascii="Garamond" w:eastAsia="Times New Roman" w:hAnsi="Garamond" w:cs="Times New Roman"/>
          <w:color w:val="000000" w:themeColor="text1"/>
          <w:kern w:val="0"/>
          <w:lang w:val="it-IT" w:eastAsia="fr-FR"/>
          <w14:ligatures w14:val="none"/>
        </w:rPr>
        <w:t>12. La mancata applicazione delle leggi relative ai diritti sociali, l'adozione di leggi che li indeboliscono, nonché la scomparsa dei servizi pubblici di prossimità e degli sportelli fisici, accentuano l'inaccessibilità e il mancato ricorso ai diritti</w:t>
      </w:r>
      <w:r w:rsidR="008C41B6" w:rsidRPr="00C64330">
        <w:rPr>
          <w:rStyle w:val="Appelnotedebasdep"/>
          <w:rFonts w:ascii="Garamond" w:eastAsia="Times New Roman" w:hAnsi="Garamond" w:cs="Times New Roman"/>
          <w:color w:val="000000" w:themeColor="text1"/>
          <w:kern w:val="0"/>
          <w:lang w:val="it-IT" w:eastAsia="fr-FR"/>
          <w14:ligatures w14:val="none"/>
        </w:rPr>
        <w:footnoteReference w:id="9"/>
      </w:r>
      <w:r w:rsidRPr="00C64330">
        <w:rPr>
          <w:rFonts w:ascii="Garamond" w:eastAsia="Times New Roman" w:hAnsi="Garamond" w:cs="Times New Roman"/>
          <w:color w:val="000000" w:themeColor="text1"/>
          <w:kern w:val="0"/>
          <w:lang w:val="it-IT" w:eastAsia="fr-FR"/>
          <w14:ligatures w14:val="none"/>
        </w:rPr>
        <w:t> e aggravano l'emarginazione di una parte crescente della popolazione.</w:t>
      </w:r>
    </w:p>
    <w:p w14:paraId="5340F126" w14:textId="7AF58CA1" w:rsidR="00450631" w:rsidRPr="00C64330" w:rsidRDefault="00450631" w:rsidP="00C64330">
      <w:pPr>
        <w:spacing w:before="100" w:beforeAutospacing="1" w:after="100" w:afterAutospacing="1" w:line="240" w:lineRule="auto"/>
        <w:jc w:val="both"/>
        <w:rPr>
          <w:rFonts w:ascii="Garamond" w:eastAsia="Times New Roman" w:hAnsi="Garamond" w:cs="Times New Roman"/>
          <w:color w:val="000000" w:themeColor="text1"/>
          <w:kern w:val="0"/>
          <w:lang w:val="it-IT" w:eastAsia="fr-FR"/>
          <w14:ligatures w14:val="none"/>
        </w:rPr>
      </w:pPr>
      <w:r w:rsidRPr="00C64330">
        <w:rPr>
          <w:rFonts w:ascii="Garamond" w:eastAsia="Times New Roman" w:hAnsi="Garamond" w:cs="Times New Roman"/>
          <w:color w:val="000000" w:themeColor="text1"/>
          <w:kern w:val="0"/>
          <w:lang w:val="it-IT" w:eastAsia="fr-FR"/>
          <w14:ligatures w14:val="none"/>
        </w:rPr>
        <w:t>13. La CNCDH esprime viva preoccupazione per le ripetute e brutali contestazioni dello Stato di diritto da parte delle alte autorità dello Stato, nonché per il loro ruolo nella crescente contestazione del controllo di costituzionalità, della superiorità delle norme internazionali ed europee, dell'autorità giudiziaria, dell'indipendenza dei magistrati e dell'autorità delle decisioni giudiziarie.</w:t>
      </w:r>
    </w:p>
    <w:p w14:paraId="7D701318" w14:textId="26C4F9A2" w:rsidR="00450631" w:rsidRPr="00C64330" w:rsidRDefault="00450631" w:rsidP="00C64330">
      <w:pPr>
        <w:spacing w:before="100" w:beforeAutospacing="1" w:after="100" w:afterAutospacing="1" w:line="240" w:lineRule="auto"/>
        <w:jc w:val="both"/>
        <w:rPr>
          <w:rFonts w:ascii="Garamond" w:eastAsia="Times New Roman" w:hAnsi="Garamond" w:cs="Times New Roman"/>
          <w:color w:val="000000" w:themeColor="text1"/>
          <w:kern w:val="0"/>
          <w:lang w:val="it-IT" w:eastAsia="fr-FR"/>
          <w14:ligatures w14:val="none"/>
        </w:rPr>
      </w:pPr>
      <w:r w:rsidRPr="00C64330">
        <w:rPr>
          <w:rFonts w:ascii="Garamond" w:eastAsia="Times New Roman" w:hAnsi="Garamond" w:cs="Times New Roman"/>
          <w:color w:val="000000" w:themeColor="text1"/>
          <w:kern w:val="0"/>
          <w:lang w:val="it-IT" w:eastAsia="fr-FR"/>
          <w14:ligatures w14:val="none"/>
        </w:rPr>
        <w:t>14. La CNCDH è ancora più allarmata dal fatto che il concetto di Stato di diritto venga strumentalizzato per screditare una decisione giudiziaria o attaccare i magistrati, cosa che costituisce un attacco diretto alla democrazia. L'indipendenza della giustizia e la protezione dei magistrati, infatti, costituiscono pilastri essenziali di una società democratica fondata sul principio dello Stato di diritto. La CNCDH condanna quindi fermamente ogni forma di intimidazione, minaccia, insulto o ritorsione nei confronti dei magistrati delle giurisdizioni nazionali, europee o internazionali. La CNCDH condanna inoltre le sanzioni adottate dal governo degli Stati Uniti nei confronti dei giudici e dei funzionari della Corte Penale Internazionale</w:t>
      </w:r>
      <w:r w:rsidRPr="00C64330">
        <w:rPr>
          <w:rStyle w:val="Appelnotedebasdep"/>
          <w:rFonts w:ascii="Garamond" w:eastAsia="Times New Roman" w:hAnsi="Garamond" w:cs="Times New Roman"/>
          <w:color w:val="000000" w:themeColor="text1"/>
          <w:kern w:val="0"/>
          <w:lang w:val="it-IT" w:eastAsia="fr-FR"/>
          <w14:ligatures w14:val="none"/>
        </w:rPr>
        <w:footnoteReference w:id="10"/>
      </w:r>
      <w:r w:rsidRPr="00C64330">
        <w:rPr>
          <w:rFonts w:ascii="Garamond" w:eastAsia="Times New Roman" w:hAnsi="Garamond" w:cs="Times New Roman"/>
          <w:color w:val="000000" w:themeColor="text1"/>
          <w:kern w:val="0"/>
          <w:lang w:val="it-IT" w:eastAsia="fr-FR"/>
          <w14:ligatures w14:val="none"/>
        </w:rPr>
        <w:t xml:space="preserve"> per aver semplicemente esercitato il loro mandato. La CNCDH si indigna per le gravi conseguenze che tali sanzioni hanno sulla vita quotidiana delle donne e degli uomini che ne sono stati oggetto. </w:t>
      </w:r>
    </w:p>
    <w:p w14:paraId="5D1BB282" w14:textId="5D1B8E9E" w:rsidR="00BE5274" w:rsidRPr="00C64330" w:rsidRDefault="00BE5274" w:rsidP="00C64330">
      <w:pPr>
        <w:spacing w:before="100" w:beforeAutospacing="1" w:after="100" w:afterAutospacing="1" w:line="240" w:lineRule="auto"/>
        <w:jc w:val="both"/>
        <w:rPr>
          <w:rFonts w:ascii="Garamond" w:eastAsia="Times New Roman" w:hAnsi="Garamond" w:cs="Times New Roman"/>
          <w:color w:val="000000" w:themeColor="text1"/>
          <w:kern w:val="0"/>
          <w:lang w:val="it-IT" w:eastAsia="fr-FR"/>
          <w14:ligatures w14:val="none"/>
        </w:rPr>
      </w:pPr>
      <w:r w:rsidRPr="00C64330">
        <w:rPr>
          <w:rFonts w:ascii="Garamond" w:eastAsia="Times New Roman" w:hAnsi="Garamond" w:cs="Times New Roman"/>
          <w:color w:val="000000" w:themeColor="text1"/>
          <w:kern w:val="0"/>
          <w:lang w:val="it-IT" w:eastAsia="fr-FR"/>
          <w14:ligatures w14:val="none"/>
        </w:rPr>
        <w:t>15. La CNCDH invita a una vigilanza costante e attiva per individuare, denunciare e porre rimedio a tutti questi abusi.</w:t>
      </w:r>
      <w:r w:rsidR="008E11BF" w:rsidRPr="00C64330">
        <w:rPr>
          <w:rFonts w:ascii="Garamond" w:eastAsia="Times New Roman" w:hAnsi="Garamond" w:cs="Times New Roman"/>
          <w:color w:val="000000" w:themeColor="text1"/>
          <w:kern w:val="0"/>
          <w:lang w:val="it-IT" w:eastAsia="fr-FR"/>
          <w14:ligatures w14:val="none"/>
        </w:rPr>
        <w:t xml:space="preserve"> </w:t>
      </w:r>
      <w:r w:rsidRPr="00C64330">
        <w:rPr>
          <w:rFonts w:ascii="Garamond" w:eastAsia="Times New Roman" w:hAnsi="Garamond" w:cs="Times New Roman"/>
          <w:color w:val="000000" w:themeColor="text1"/>
          <w:kern w:val="0"/>
          <w:lang w:val="it-IT" w:eastAsia="fr-FR"/>
          <w14:ligatures w14:val="none"/>
        </w:rPr>
        <w:t xml:space="preserve">Infatti, qualsiasi violazione dello Stato di diritto, anche se apparentemente limitata, indebolisce l'intero edificio democratico. È molto difficile ripristinare lo Stato di diritto una volta che è stato </w:t>
      </w:r>
      <w:proofErr w:type="gramStart"/>
      <w:r w:rsidRPr="00C64330">
        <w:rPr>
          <w:rFonts w:ascii="Garamond" w:eastAsia="Times New Roman" w:hAnsi="Garamond" w:cs="Times New Roman"/>
          <w:color w:val="000000" w:themeColor="text1"/>
          <w:kern w:val="0"/>
          <w:lang w:val="it-IT" w:eastAsia="fr-FR"/>
          <w14:ligatures w14:val="none"/>
        </w:rPr>
        <w:t>smantellato, quindi</w:t>
      </w:r>
      <w:proofErr w:type="gramEnd"/>
      <w:r w:rsidRPr="00C64330">
        <w:rPr>
          <w:rFonts w:ascii="Garamond" w:eastAsia="Times New Roman" w:hAnsi="Garamond" w:cs="Times New Roman"/>
          <w:color w:val="000000" w:themeColor="text1"/>
          <w:kern w:val="0"/>
          <w:lang w:val="it-IT" w:eastAsia="fr-FR"/>
          <w14:ligatures w14:val="none"/>
        </w:rPr>
        <w:t xml:space="preserve"> è necessario difenderlo in tempo utile e, meglio ancora, in ogni momento.</w:t>
      </w:r>
    </w:p>
    <w:p w14:paraId="1D785925" w14:textId="23223061" w:rsidR="00BE5274" w:rsidRPr="00C64330" w:rsidRDefault="00BE5274" w:rsidP="00C64330">
      <w:pPr>
        <w:spacing w:before="100" w:beforeAutospacing="1" w:after="100" w:afterAutospacing="1" w:line="240" w:lineRule="auto"/>
        <w:jc w:val="both"/>
        <w:rPr>
          <w:rFonts w:ascii="Garamond" w:eastAsia="Times New Roman" w:hAnsi="Garamond" w:cs="Times New Roman"/>
          <w:b/>
          <w:bCs/>
          <w:color w:val="000000" w:themeColor="text1"/>
          <w:kern w:val="0"/>
          <w:sz w:val="28"/>
          <w:szCs w:val="28"/>
          <w:lang w:val="it-IT" w:eastAsia="fr-FR"/>
          <w14:ligatures w14:val="none"/>
        </w:rPr>
      </w:pPr>
      <w:r w:rsidRPr="00C64330">
        <w:rPr>
          <w:rFonts w:ascii="Garamond" w:eastAsia="Times New Roman" w:hAnsi="Garamond" w:cs="Times New Roman"/>
          <w:b/>
          <w:bCs/>
          <w:color w:val="000000" w:themeColor="text1"/>
          <w:kern w:val="0"/>
          <w:sz w:val="28"/>
          <w:szCs w:val="28"/>
          <w:lang w:val="it-IT" w:eastAsia="fr-FR"/>
          <w14:ligatures w14:val="none"/>
        </w:rPr>
        <w:t>II - Resistenza attraverso la mobilitazione dei cittadini</w:t>
      </w:r>
    </w:p>
    <w:p w14:paraId="0EF75957" w14:textId="1EE58F22" w:rsidR="00BE5274" w:rsidRPr="00C64330" w:rsidRDefault="00BE5274" w:rsidP="00C64330">
      <w:pPr>
        <w:spacing w:before="100" w:beforeAutospacing="1" w:after="100" w:afterAutospacing="1" w:line="240" w:lineRule="auto"/>
        <w:jc w:val="both"/>
        <w:rPr>
          <w:rFonts w:ascii="Garamond" w:eastAsia="Times New Roman" w:hAnsi="Garamond" w:cs="Times New Roman"/>
          <w:color w:val="000000" w:themeColor="text1"/>
          <w:kern w:val="0"/>
          <w:lang w:val="it-IT" w:eastAsia="fr-FR"/>
          <w14:ligatures w14:val="none"/>
        </w:rPr>
      </w:pPr>
      <w:r w:rsidRPr="00C64330">
        <w:rPr>
          <w:rFonts w:ascii="Garamond" w:eastAsia="Times New Roman" w:hAnsi="Garamond" w:cs="Times New Roman"/>
          <w:color w:val="000000" w:themeColor="text1"/>
          <w:kern w:val="0"/>
          <w:lang w:val="it-IT" w:eastAsia="fr-FR"/>
          <w14:ligatures w14:val="none"/>
        </w:rPr>
        <w:t xml:space="preserve">16. Di fronte a violazioni e minacce, l'Assemblea dei diritti umani </w:t>
      </w:r>
      <w:r w:rsidR="00254B90" w:rsidRPr="00C64330">
        <w:rPr>
          <w:rFonts w:ascii="Garamond" w:eastAsia="Times New Roman" w:hAnsi="Garamond" w:cs="Times New Roman"/>
          <w:color w:val="000000" w:themeColor="text1"/>
          <w:kern w:val="0"/>
          <w:lang w:val="it-IT" w:eastAsia="fr-FR"/>
          <w14:ligatures w14:val="none"/>
        </w:rPr>
        <w:t>ha indicato</w:t>
      </w:r>
      <w:r w:rsidR="00254B90" w:rsidRPr="00C64330">
        <w:rPr>
          <w:rFonts w:ascii="Garamond" w:eastAsia="Times New Roman" w:hAnsi="Garamond" w:cs="Times New Roman"/>
          <w:color w:val="000000" w:themeColor="text1"/>
          <w:kern w:val="0"/>
          <w:lang w:val="it-IT" w:eastAsia="fr-FR"/>
          <w14:ligatures w14:val="none"/>
        </w:rPr>
        <w:t xml:space="preserve"> </w:t>
      </w:r>
      <w:r w:rsidRPr="00C64330">
        <w:rPr>
          <w:rFonts w:ascii="Garamond" w:eastAsia="Times New Roman" w:hAnsi="Garamond" w:cs="Times New Roman"/>
          <w:color w:val="000000" w:themeColor="text1"/>
          <w:kern w:val="0"/>
          <w:lang w:val="it-IT" w:eastAsia="fr-FR"/>
          <w14:ligatures w14:val="none"/>
        </w:rPr>
        <w:t>in evidenza</w:t>
      </w:r>
      <w:r w:rsidR="00254B90" w:rsidRPr="00C64330">
        <w:rPr>
          <w:rFonts w:ascii="Garamond" w:eastAsia="Times New Roman" w:hAnsi="Garamond" w:cs="Times New Roman"/>
          <w:color w:val="000000" w:themeColor="text1"/>
          <w:kern w:val="0"/>
          <w:lang w:val="it-IT" w:eastAsia="fr-FR"/>
          <w14:ligatures w14:val="none"/>
        </w:rPr>
        <w:t xml:space="preserve"> </w:t>
      </w:r>
      <w:r w:rsidRPr="00C64330">
        <w:rPr>
          <w:rFonts w:ascii="Garamond" w:eastAsia="Times New Roman" w:hAnsi="Garamond" w:cs="Times New Roman"/>
          <w:color w:val="000000" w:themeColor="text1"/>
          <w:kern w:val="0"/>
          <w:lang w:val="it-IT" w:eastAsia="fr-FR"/>
          <w14:ligatures w14:val="none"/>
        </w:rPr>
        <w:t>le modalità d'azione e gli strumenti utilizzati dai diversi attori per rafforzare lo Stato di diritto, in particolare l'affermazione dell'interdipendenza dei diritti umani, il rispetto degli impegni internazionali e lo sviluppo di contenziosi strategici.</w:t>
      </w:r>
    </w:p>
    <w:p w14:paraId="0C893CF7" w14:textId="3AEAF82E" w:rsidR="00BE5274" w:rsidRPr="00C64330" w:rsidRDefault="00BE5274" w:rsidP="00C64330">
      <w:pPr>
        <w:spacing w:before="100" w:beforeAutospacing="1" w:after="100" w:afterAutospacing="1" w:line="240" w:lineRule="auto"/>
        <w:jc w:val="both"/>
        <w:rPr>
          <w:rFonts w:ascii="Garamond" w:eastAsia="Times New Roman" w:hAnsi="Garamond" w:cs="Times New Roman"/>
          <w:color w:val="000000" w:themeColor="text1"/>
          <w:kern w:val="0"/>
          <w:lang w:val="it-IT" w:eastAsia="fr-FR"/>
          <w14:ligatures w14:val="none"/>
        </w:rPr>
      </w:pPr>
      <w:r w:rsidRPr="00C64330">
        <w:rPr>
          <w:rFonts w:ascii="Garamond" w:eastAsia="Times New Roman" w:hAnsi="Garamond" w:cs="Times New Roman"/>
          <w:color w:val="000000" w:themeColor="text1"/>
          <w:kern w:val="0"/>
          <w:lang w:val="it-IT" w:eastAsia="fr-FR"/>
          <w14:ligatures w14:val="none"/>
        </w:rPr>
        <w:t xml:space="preserve">17. L'interdipendenza dei diritti umani è al centro dell'efficacia dello Stato di diritto. La realizzazione di un diritto favorisce quella degli altri diritti, mentre la violazione di un diritto comporta il regresso degli altri. L'affermazione di questa interdipendenza è consustanziale allo Stato di diritto, in quanto rappresenta un fattore di inclusione per i soggetti più vulnerabili e bisognosi. </w:t>
      </w:r>
    </w:p>
    <w:p w14:paraId="370D977B" w14:textId="0333B594" w:rsidR="00F57405" w:rsidRPr="00C64330" w:rsidRDefault="00BE5274" w:rsidP="00C64330">
      <w:pPr>
        <w:spacing w:before="100" w:beforeAutospacing="1" w:after="100" w:afterAutospacing="1" w:line="240" w:lineRule="auto"/>
        <w:jc w:val="both"/>
        <w:rPr>
          <w:rFonts w:ascii="Garamond" w:eastAsia="Times New Roman" w:hAnsi="Garamond" w:cs="Times New Roman"/>
          <w:color w:val="000000" w:themeColor="text1"/>
          <w:kern w:val="0"/>
          <w:lang w:val="it-IT" w:eastAsia="fr-FR"/>
          <w14:ligatures w14:val="none"/>
        </w:rPr>
      </w:pPr>
      <w:r w:rsidRPr="00C64330">
        <w:rPr>
          <w:rFonts w:ascii="Garamond" w:eastAsia="Times New Roman" w:hAnsi="Garamond" w:cs="Times New Roman"/>
          <w:color w:val="000000" w:themeColor="text1"/>
          <w:kern w:val="0"/>
          <w:lang w:val="it-IT" w:eastAsia="fr-FR"/>
          <w14:ligatures w14:val="none"/>
        </w:rPr>
        <w:t>18. I trattati internazionali in materia di diritti umani e di diritto internazionale umanitario di cui la Francia è parte, così come l'Unione europea, fondata su valori comuni, costituiscono una componente essenziale dello Stato di diritto.</w:t>
      </w:r>
      <w:r w:rsidR="00F57405" w:rsidRPr="00C64330">
        <w:rPr>
          <w:rFonts w:ascii="Garamond" w:eastAsia="Times New Roman" w:hAnsi="Garamond" w:cs="Times New Roman"/>
          <w:color w:val="000000" w:themeColor="text1"/>
          <w:kern w:val="0"/>
          <w:lang w:val="it-IT" w:eastAsia="fr-FR"/>
          <w14:ligatures w14:val="none"/>
        </w:rPr>
        <w:t xml:space="preserve"> </w:t>
      </w:r>
      <w:r w:rsidRPr="00C64330">
        <w:rPr>
          <w:rFonts w:ascii="Garamond" w:eastAsia="Times New Roman" w:hAnsi="Garamond" w:cs="Times New Roman"/>
          <w:color w:val="000000" w:themeColor="text1"/>
          <w:kern w:val="0"/>
          <w:lang w:val="it-IT" w:eastAsia="fr-FR"/>
          <w14:ligatures w14:val="none"/>
        </w:rPr>
        <w:t xml:space="preserve">Questi strumenti possono contribuire a contrastare le derive antidemocratiche e a lottare contro il populismo, a condizione che si rafforzi l'efficacia delle </w:t>
      </w:r>
      <w:r w:rsidRPr="00C64330">
        <w:rPr>
          <w:rFonts w:ascii="Garamond" w:eastAsia="Times New Roman" w:hAnsi="Garamond" w:cs="Times New Roman"/>
          <w:color w:val="000000" w:themeColor="text1"/>
          <w:kern w:val="0"/>
          <w:lang w:val="it-IT" w:eastAsia="fr-FR"/>
          <w14:ligatures w14:val="none"/>
        </w:rPr>
        <w:lastRenderedPageBreak/>
        <w:t>istituzioni pubbliche e la loro capacità di rispondere concretamente alle aspettative dei cittadini di fronte alle difficoltà quotidiane.</w:t>
      </w:r>
    </w:p>
    <w:p w14:paraId="6619569A" w14:textId="747DFC50" w:rsidR="00BE5274" w:rsidRPr="00C64330" w:rsidRDefault="00BE5274" w:rsidP="00C64330">
      <w:pPr>
        <w:spacing w:before="100" w:beforeAutospacing="1" w:after="100" w:afterAutospacing="1" w:line="240" w:lineRule="auto"/>
        <w:jc w:val="both"/>
        <w:rPr>
          <w:rFonts w:ascii="Garamond" w:eastAsia="Times New Roman" w:hAnsi="Garamond" w:cs="Times New Roman"/>
          <w:color w:val="000000" w:themeColor="text1"/>
          <w:kern w:val="0"/>
          <w:lang w:val="it-IT" w:eastAsia="fr-FR"/>
          <w14:ligatures w14:val="none"/>
        </w:rPr>
      </w:pPr>
      <w:r w:rsidRPr="00C64330">
        <w:rPr>
          <w:rFonts w:ascii="Garamond" w:eastAsia="Times New Roman" w:hAnsi="Garamond" w:cs="Times New Roman"/>
          <w:color w:val="000000" w:themeColor="text1"/>
          <w:kern w:val="0"/>
          <w:lang w:val="it-IT" w:eastAsia="fr-FR"/>
          <w14:ligatures w14:val="none"/>
        </w:rPr>
        <w:t>19.   Nell'ambito delle sue funzioni istituzionali di commissione per l'attuazione del diritto internazionale umanitario, la CNCDH invita a rafforzare il ruolo della Francia come motore del DIU, intransigente sul rispetto delle norme in vigore</w:t>
      </w:r>
      <w:r w:rsidRPr="00C64330">
        <w:rPr>
          <w:rStyle w:val="Appelnotedebasdep"/>
          <w:rFonts w:ascii="Garamond" w:eastAsia="Times New Roman" w:hAnsi="Garamond" w:cs="Times New Roman"/>
          <w:color w:val="000000" w:themeColor="text1"/>
          <w:kern w:val="0"/>
          <w:lang w:val="it-IT" w:eastAsia="fr-FR"/>
          <w14:ligatures w14:val="none"/>
        </w:rPr>
        <w:footnoteReference w:id="11"/>
      </w:r>
      <w:r w:rsidRPr="00C64330">
        <w:rPr>
          <w:rFonts w:ascii="Garamond" w:eastAsia="Times New Roman" w:hAnsi="Garamond" w:cs="Times New Roman"/>
          <w:color w:val="000000" w:themeColor="text1"/>
          <w:kern w:val="0"/>
          <w:lang w:val="it-IT" w:eastAsia="fr-FR"/>
          <w14:ligatures w14:val="none"/>
        </w:rPr>
        <w:t xml:space="preserve"> e promotrice di nuovi progressi a favore dello Stato di diritto internazionale.              </w:t>
      </w:r>
    </w:p>
    <w:p w14:paraId="794687E1" w14:textId="54C71503" w:rsidR="004B5250" w:rsidRPr="00C64330" w:rsidRDefault="004B5250" w:rsidP="00C64330">
      <w:pPr>
        <w:spacing w:before="100" w:beforeAutospacing="1" w:after="100" w:afterAutospacing="1" w:line="240" w:lineRule="auto"/>
        <w:jc w:val="both"/>
        <w:rPr>
          <w:rFonts w:ascii="Garamond" w:eastAsia="Times New Roman" w:hAnsi="Garamond" w:cs="Times New Roman"/>
          <w:color w:val="000000" w:themeColor="text1"/>
          <w:kern w:val="0"/>
          <w:lang w:val="it-IT" w:eastAsia="fr-FR"/>
          <w14:ligatures w14:val="none"/>
        </w:rPr>
      </w:pPr>
      <w:r w:rsidRPr="00C64330">
        <w:rPr>
          <w:rFonts w:ascii="Garamond" w:eastAsia="Times New Roman" w:hAnsi="Garamond" w:cs="Times New Roman"/>
          <w:color w:val="000000" w:themeColor="text1"/>
          <w:kern w:val="0"/>
          <w:lang w:val="it-IT" w:eastAsia="fr-FR"/>
          <w14:ligatures w14:val="none"/>
        </w:rPr>
        <w:t>20.   Inoltre, la CNCDH ribadisce il ruolo essenziale delle giurisdizioni e dei meccanismi internazionali di protezione dei diritti umani</w:t>
      </w:r>
      <w:r w:rsidRPr="00C64330">
        <w:rPr>
          <w:rStyle w:val="Appelnotedebasdep"/>
          <w:rFonts w:ascii="Garamond" w:eastAsia="Times New Roman" w:hAnsi="Garamond" w:cs="Times New Roman"/>
          <w:color w:val="000000" w:themeColor="text1"/>
          <w:kern w:val="0"/>
          <w:lang w:val="it-IT" w:eastAsia="fr-FR"/>
          <w14:ligatures w14:val="none"/>
        </w:rPr>
        <w:footnoteReference w:id="12"/>
      </w:r>
      <w:r w:rsidRPr="00C64330">
        <w:rPr>
          <w:rFonts w:ascii="Garamond" w:eastAsia="Times New Roman" w:hAnsi="Garamond" w:cs="Times New Roman"/>
          <w:color w:val="000000" w:themeColor="text1"/>
          <w:kern w:val="0"/>
          <w:lang w:val="it-IT" w:eastAsia="fr-FR"/>
          <w14:ligatures w14:val="none"/>
        </w:rPr>
        <w:t>, in particolare nell'ambito dell'ONU e del Consiglio d'Europa. La CNCDH sottolinea l'importanza di attuare pienamente le decisioni e le raccomandazioni</w:t>
      </w:r>
      <w:r w:rsidRPr="00C64330">
        <w:rPr>
          <w:rStyle w:val="Appelnotedebasdep"/>
          <w:rFonts w:ascii="Garamond" w:eastAsia="Times New Roman" w:hAnsi="Garamond" w:cs="Times New Roman"/>
          <w:color w:val="000000" w:themeColor="text1"/>
          <w:kern w:val="0"/>
          <w:lang w:val="it-IT" w:eastAsia="fr-FR"/>
          <w14:ligatures w14:val="none"/>
        </w:rPr>
        <w:footnoteReference w:id="13"/>
      </w:r>
      <w:r w:rsidRPr="00C64330">
        <w:rPr>
          <w:rFonts w:ascii="Garamond" w:eastAsia="Times New Roman" w:hAnsi="Garamond" w:cs="Times New Roman"/>
          <w:color w:val="000000" w:themeColor="text1"/>
          <w:kern w:val="0"/>
          <w:lang w:val="it-IT" w:eastAsia="fr-FR"/>
          <w14:ligatures w14:val="none"/>
        </w:rPr>
        <w:t xml:space="preserve"> che essi formulano sulla base delle loro constatazioni.</w:t>
      </w:r>
      <w:r w:rsidR="008E11BF" w:rsidRPr="00C64330">
        <w:rPr>
          <w:rFonts w:ascii="Garamond" w:eastAsia="Times New Roman" w:hAnsi="Garamond" w:cs="Times New Roman"/>
          <w:color w:val="000000" w:themeColor="text1"/>
          <w:kern w:val="0"/>
          <w:lang w:val="it-IT" w:eastAsia="fr-FR"/>
          <w14:ligatures w14:val="none"/>
        </w:rPr>
        <w:t xml:space="preserve"> </w:t>
      </w:r>
      <w:r w:rsidRPr="00C64330">
        <w:rPr>
          <w:rFonts w:ascii="Garamond" w:eastAsia="Times New Roman" w:hAnsi="Garamond" w:cs="Times New Roman"/>
          <w:color w:val="000000" w:themeColor="text1"/>
          <w:kern w:val="0"/>
          <w:lang w:val="it-IT" w:eastAsia="fr-FR"/>
          <w14:ligatures w14:val="none"/>
        </w:rPr>
        <w:t>Più in generale, la CNCDH auspica che il governo ribadisca con forza e costanza il proprio impegno incondizionato a favore del rispetto del diritto internazionale umanitario e del multilateralismo.</w:t>
      </w:r>
    </w:p>
    <w:p w14:paraId="31B47C46" w14:textId="77777777" w:rsidR="00254B90" w:rsidRPr="00C64330" w:rsidRDefault="004B5250" w:rsidP="00C64330">
      <w:pPr>
        <w:spacing w:before="100" w:beforeAutospacing="1" w:after="100" w:afterAutospacing="1" w:line="240" w:lineRule="auto"/>
        <w:jc w:val="both"/>
        <w:rPr>
          <w:rFonts w:ascii="Garamond" w:eastAsia="Times New Roman" w:hAnsi="Garamond" w:cs="Times New Roman"/>
          <w:color w:val="000000" w:themeColor="text1"/>
          <w:kern w:val="0"/>
          <w:lang w:val="it-IT" w:eastAsia="fr-FR"/>
          <w14:ligatures w14:val="none"/>
        </w:rPr>
      </w:pPr>
      <w:r w:rsidRPr="00C64330">
        <w:rPr>
          <w:rFonts w:ascii="Garamond" w:eastAsia="Times New Roman" w:hAnsi="Garamond" w:cs="Times New Roman"/>
          <w:color w:val="000000" w:themeColor="text1"/>
          <w:kern w:val="0"/>
          <w:lang w:val="it-IT" w:eastAsia="fr-FR"/>
          <w14:ligatures w14:val="none"/>
        </w:rPr>
        <w:t>21.   Si aspetta inoltre che il governo francese si distanzi chiaramente dai governi europei che contestano la legittimità della Corte europea dei diritti dell'uomo, attaccandone i metodi di lavoro e la giurisprudenza.</w:t>
      </w:r>
    </w:p>
    <w:p w14:paraId="62686B3D" w14:textId="5A65B4EF" w:rsidR="00F57405" w:rsidRPr="00C64330" w:rsidRDefault="00F57405" w:rsidP="00C64330">
      <w:pPr>
        <w:spacing w:before="100" w:beforeAutospacing="1" w:after="100" w:afterAutospacing="1" w:line="240" w:lineRule="auto"/>
        <w:jc w:val="both"/>
        <w:rPr>
          <w:rFonts w:ascii="Garamond" w:eastAsia="Times New Roman" w:hAnsi="Garamond" w:cs="Times New Roman"/>
          <w:color w:val="000000" w:themeColor="text1"/>
          <w:kern w:val="0"/>
          <w:lang w:val="it-IT" w:eastAsia="fr-FR"/>
          <w14:ligatures w14:val="none"/>
        </w:rPr>
      </w:pPr>
      <w:r w:rsidRPr="00C64330">
        <w:rPr>
          <w:rFonts w:ascii="Garamond" w:eastAsia="Times New Roman" w:hAnsi="Garamond" w:cs="Times New Roman"/>
          <w:color w:val="000000" w:themeColor="text1"/>
          <w:kern w:val="0"/>
          <w:lang w:val="it-IT" w:eastAsia="fr-FR"/>
          <w14:ligatures w14:val="none"/>
        </w:rPr>
        <w:t>22. La CNCDH sottolinea inoltre l'importanza fondamentale del giudice giudiziario, che costituisce la pietra angolare della protezione della libertà individuale, esercitando in modo sistematico e immediato un controllo su ogni privazione della libertà e, più in generale, garantendo effettivamente i diritti fondamentali. Ricorda inoltre il ruolo essenziale della giustizia amministrativa nella difesa delle libertà fondamentali, in particolare attraverso un controllo rigoroso della legalità dell'azione pubblica. Il rispetto delle decisioni del giudice amministrativo, anche quando vincolano l'azione di governo, è un altro pilastro dello Stato di diritto.</w:t>
      </w:r>
    </w:p>
    <w:p w14:paraId="5C21903B" w14:textId="743F3748" w:rsidR="004B5250" w:rsidRPr="00C64330" w:rsidRDefault="004B5250" w:rsidP="00C64330">
      <w:pPr>
        <w:spacing w:before="100" w:beforeAutospacing="1" w:after="100" w:afterAutospacing="1" w:line="240" w:lineRule="auto"/>
        <w:jc w:val="both"/>
        <w:rPr>
          <w:rFonts w:ascii="Garamond" w:eastAsia="Times New Roman" w:hAnsi="Garamond" w:cs="Times New Roman"/>
          <w:color w:val="000000" w:themeColor="text1"/>
          <w:kern w:val="0"/>
          <w:lang w:val="it-IT" w:eastAsia="fr-FR"/>
          <w14:ligatures w14:val="none"/>
        </w:rPr>
      </w:pPr>
      <w:r w:rsidRPr="00C64330">
        <w:rPr>
          <w:rFonts w:ascii="Garamond" w:eastAsia="Times New Roman" w:hAnsi="Garamond" w:cs="Times New Roman"/>
          <w:color w:val="000000" w:themeColor="text1"/>
          <w:kern w:val="0"/>
          <w:lang w:val="it-IT" w:eastAsia="fr-FR"/>
          <w14:ligatures w14:val="none"/>
        </w:rPr>
        <w:t>23. La CNCDH plaude inoltre al ruolo determinante delle organizzazioni che hanno dato origine a contenziosi strategici, i quali hanno permesso di conseguire importanti progressi in materia di diritto alla salute, di protezione dell'ambiente e di lotta contro il cambiamento climatico</w:t>
      </w:r>
      <w:r w:rsidRPr="00C64330">
        <w:rPr>
          <w:rStyle w:val="Appelnotedebasdep"/>
          <w:rFonts w:ascii="Garamond" w:eastAsia="Times New Roman" w:hAnsi="Garamond" w:cs="Times New Roman"/>
          <w:color w:val="000000" w:themeColor="text1"/>
          <w:kern w:val="0"/>
          <w:lang w:val="it-IT" w:eastAsia="fr-FR"/>
          <w14:ligatures w14:val="none"/>
        </w:rPr>
        <w:footnoteReference w:id="14"/>
      </w:r>
      <w:r w:rsidRPr="00C64330">
        <w:rPr>
          <w:rFonts w:ascii="Garamond" w:eastAsia="Times New Roman" w:hAnsi="Garamond" w:cs="Times New Roman"/>
          <w:color w:val="000000" w:themeColor="text1"/>
          <w:kern w:val="0"/>
          <w:lang w:val="it-IT" w:eastAsia="fr-FR"/>
          <w14:ligatures w14:val="none"/>
        </w:rPr>
        <w:t>, sancendo progressivamente l'obbligo dello Stato di rispettare i propri impegni in materia di clima e</w:t>
      </w:r>
      <w:r w:rsidR="000B4870" w:rsidRPr="00C64330">
        <w:rPr>
          <w:rFonts w:ascii="Garamond" w:eastAsia="Times New Roman" w:hAnsi="Garamond" w:cs="Times New Roman"/>
          <w:color w:val="000000" w:themeColor="text1"/>
          <w:kern w:val="0"/>
          <w:lang w:val="it-IT" w:eastAsia="fr-FR"/>
          <w14:ligatures w14:val="none"/>
        </w:rPr>
        <w:t>, di fronte alla crisi ecologica,</w:t>
      </w:r>
      <w:r w:rsidRPr="00C64330">
        <w:rPr>
          <w:rFonts w:ascii="Garamond" w:eastAsia="Times New Roman" w:hAnsi="Garamond" w:cs="Times New Roman"/>
          <w:color w:val="000000" w:themeColor="text1"/>
          <w:kern w:val="0"/>
          <w:lang w:val="it-IT" w:eastAsia="fr-FR"/>
          <w14:ligatures w14:val="none"/>
        </w:rPr>
        <w:t xml:space="preserve"> di adottare misure adeguate a</w:t>
      </w:r>
      <w:r w:rsidR="000B4870" w:rsidRPr="00C64330">
        <w:rPr>
          <w:rFonts w:ascii="Garamond" w:eastAsia="Times New Roman" w:hAnsi="Garamond" w:cs="Times New Roman"/>
          <w:color w:val="000000" w:themeColor="text1"/>
          <w:kern w:val="0"/>
          <w:lang w:val="it-IT" w:eastAsia="fr-FR"/>
          <w14:ligatures w14:val="none"/>
        </w:rPr>
        <w:t xml:space="preserve"> tutela dei</w:t>
      </w:r>
      <w:r w:rsidRPr="00C64330">
        <w:rPr>
          <w:rFonts w:ascii="Garamond" w:eastAsia="Times New Roman" w:hAnsi="Garamond" w:cs="Times New Roman"/>
          <w:color w:val="000000" w:themeColor="text1"/>
          <w:kern w:val="0"/>
          <w:lang w:val="it-IT" w:eastAsia="fr-FR"/>
          <w14:ligatures w14:val="none"/>
        </w:rPr>
        <w:t xml:space="preserve"> diritti fondamentali.</w:t>
      </w:r>
    </w:p>
    <w:p w14:paraId="1EF08D55" w14:textId="420020A8" w:rsidR="004B5250" w:rsidRPr="00C64330" w:rsidRDefault="004B5250" w:rsidP="00C64330">
      <w:pPr>
        <w:spacing w:before="100" w:beforeAutospacing="1" w:after="100" w:afterAutospacing="1" w:line="240" w:lineRule="auto"/>
        <w:jc w:val="both"/>
        <w:rPr>
          <w:rFonts w:ascii="Garamond" w:eastAsia="Times New Roman" w:hAnsi="Garamond" w:cs="Times New Roman"/>
          <w:color w:val="000000" w:themeColor="text1"/>
          <w:kern w:val="0"/>
          <w:lang w:val="it-IT" w:eastAsia="fr-FR"/>
          <w14:ligatures w14:val="none"/>
        </w:rPr>
      </w:pPr>
      <w:r w:rsidRPr="00C64330">
        <w:rPr>
          <w:rFonts w:ascii="Garamond" w:eastAsia="Times New Roman" w:hAnsi="Garamond" w:cs="Times New Roman"/>
          <w:color w:val="000000" w:themeColor="text1"/>
          <w:kern w:val="0"/>
          <w:lang w:val="it-IT" w:eastAsia="fr-FR"/>
          <w14:ligatures w14:val="none"/>
        </w:rPr>
        <w:t>Allo stesso modo, l'accesso alle cure è stato migliorato grazie alle battaglie condotte dalle associazioni che lottano contro l'AIDS, il diritto ambientale è stato rafforzato e la responsabilità dello Stato in materia è stata ribadita.</w:t>
      </w:r>
    </w:p>
    <w:p w14:paraId="533A13D6" w14:textId="19F1AF1D" w:rsidR="004B5250" w:rsidRPr="00C64330" w:rsidRDefault="004B5250" w:rsidP="00C64330">
      <w:pPr>
        <w:spacing w:before="100" w:beforeAutospacing="1" w:after="100" w:afterAutospacing="1" w:line="240" w:lineRule="auto"/>
        <w:jc w:val="both"/>
        <w:rPr>
          <w:rFonts w:ascii="Garamond" w:eastAsia="Times New Roman" w:hAnsi="Garamond" w:cs="Times New Roman"/>
          <w:color w:val="000000" w:themeColor="text1"/>
          <w:kern w:val="0"/>
          <w:lang w:val="it-IT" w:eastAsia="fr-FR"/>
          <w14:ligatures w14:val="none"/>
        </w:rPr>
      </w:pPr>
      <w:r w:rsidRPr="00C64330">
        <w:rPr>
          <w:rFonts w:ascii="Garamond" w:eastAsia="Times New Roman" w:hAnsi="Garamond" w:cs="Times New Roman"/>
          <w:color w:val="000000" w:themeColor="text1"/>
          <w:kern w:val="0"/>
          <w:lang w:val="it-IT" w:eastAsia="fr-FR"/>
          <w14:ligatures w14:val="none"/>
        </w:rPr>
        <w:t xml:space="preserve">24. La CNCDH esprime infine il suo apprezzamento per il proseguimento e l'intensificazione della lotta contro l'impunità dei crimini internazionali, sia a livello nazionale che internazionale. È grazie alle azioni legali intraprese dalle numerose organizzazioni che si sono schierate al fianco delle </w:t>
      </w:r>
      <w:r w:rsidRPr="00C64330">
        <w:rPr>
          <w:rFonts w:ascii="Garamond" w:eastAsia="Times New Roman" w:hAnsi="Garamond" w:cs="Times New Roman"/>
          <w:color w:val="000000" w:themeColor="text1"/>
          <w:kern w:val="0"/>
          <w:lang w:val="it-IT" w:eastAsia="fr-FR"/>
          <w14:ligatures w14:val="none"/>
        </w:rPr>
        <w:lastRenderedPageBreak/>
        <w:t>vittime che, ad esempio, si sta facendo strada il principio di competenza universale e che la responsabilità penale delle imprese viene sempre più spesso invocata.</w:t>
      </w:r>
    </w:p>
    <w:p w14:paraId="5E394202" w14:textId="7617E649" w:rsidR="00F57405" w:rsidRPr="00C64330" w:rsidRDefault="004B5250" w:rsidP="00C64330">
      <w:pPr>
        <w:spacing w:before="100" w:beforeAutospacing="1" w:after="100" w:afterAutospacing="1" w:line="240" w:lineRule="auto"/>
        <w:jc w:val="both"/>
        <w:rPr>
          <w:rFonts w:ascii="Garamond" w:eastAsia="Times New Roman" w:hAnsi="Garamond" w:cs="Times New Roman"/>
          <w:color w:val="000000" w:themeColor="text1"/>
          <w:kern w:val="0"/>
          <w:lang w:val="it-IT" w:eastAsia="fr-FR"/>
          <w14:ligatures w14:val="none"/>
        </w:rPr>
      </w:pPr>
      <w:r w:rsidRPr="00C64330">
        <w:rPr>
          <w:rFonts w:ascii="Garamond" w:eastAsia="Times New Roman" w:hAnsi="Garamond" w:cs="Times New Roman"/>
          <w:color w:val="000000" w:themeColor="text1"/>
          <w:kern w:val="0"/>
          <w:lang w:val="it-IT" w:eastAsia="fr-FR"/>
          <w14:ligatures w14:val="none"/>
        </w:rPr>
        <w:t>25. La CNCDH sottolinea quanto la mobilitazione dei cittadini sia un elemento essenziale per rafforzare lo Stato di diritto, difendere l'interesse generale e garantire la protezione dei diritti umani.</w:t>
      </w:r>
    </w:p>
    <w:p w14:paraId="39AF47E7" w14:textId="19476589" w:rsidR="004B5250" w:rsidRPr="00C64330" w:rsidRDefault="00F57405" w:rsidP="00C64330">
      <w:pPr>
        <w:spacing w:before="100" w:beforeAutospacing="1" w:after="100" w:afterAutospacing="1" w:line="240" w:lineRule="auto"/>
        <w:jc w:val="both"/>
        <w:outlineLvl w:val="1"/>
        <w:rPr>
          <w:rFonts w:ascii="Garamond" w:eastAsia="Times New Roman" w:hAnsi="Garamond" w:cs="Times New Roman"/>
          <w:b/>
          <w:bCs/>
          <w:color w:val="000000" w:themeColor="text1"/>
          <w:kern w:val="0"/>
          <w:sz w:val="28"/>
          <w:szCs w:val="28"/>
          <w:lang w:val="it-IT" w:eastAsia="fr-FR"/>
          <w14:ligatures w14:val="none"/>
        </w:rPr>
      </w:pPr>
      <w:r w:rsidRPr="00C64330">
        <w:rPr>
          <w:rFonts w:ascii="Garamond" w:eastAsia="Times New Roman" w:hAnsi="Garamond" w:cs="Times New Roman"/>
          <w:b/>
          <w:bCs/>
          <w:color w:val="000000" w:themeColor="text1"/>
          <w:kern w:val="0"/>
          <w:sz w:val="28"/>
          <w:szCs w:val="28"/>
          <w:lang w:val="it-IT" w:eastAsia="fr-FR"/>
          <w14:ligatures w14:val="none"/>
        </w:rPr>
        <w:t>III- Il tempo degli impegni</w:t>
      </w:r>
    </w:p>
    <w:p w14:paraId="3217A5F9" w14:textId="67D7BC75" w:rsidR="004B5250" w:rsidRPr="00C64330" w:rsidRDefault="004B5250" w:rsidP="00C64330">
      <w:pPr>
        <w:spacing w:before="100" w:beforeAutospacing="1" w:after="100" w:afterAutospacing="1" w:line="240" w:lineRule="auto"/>
        <w:jc w:val="both"/>
        <w:rPr>
          <w:rFonts w:ascii="Garamond" w:eastAsia="Times New Roman" w:hAnsi="Garamond" w:cs="Times New Roman"/>
          <w:color w:val="000000" w:themeColor="text1"/>
          <w:kern w:val="0"/>
          <w:lang w:val="it-IT" w:eastAsia="fr-FR"/>
          <w14:ligatures w14:val="none"/>
        </w:rPr>
      </w:pPr>
      <w:r w:rsidRPr="00C64330">
        <w:rPr>
          <w:rFonts w:ascii="Garamond" w:eastAsia="Times New Roman" w:hAnsi="Garamond" w:cs="Times New Roman"/>
          <w:color w:val="000000" w:themeColor="text1"/>
          <w:kern w:val="0"/>
          <w:lang w:val="it-IT" w:eastAsia="fr-FR"/>
          <w14:ligatures w14:val="none"/>
        </w:rPr>
        <w:t>26. Al termine del suo primo congresso sui diritti umani, la CNCDH ha affermato con chiarezza che lo Stato di diritto deve essere difeso in Francia e in tutto il mondo. Di fronte agli attacchi che subisce, proteggerlo è indispensabile per garantire i diritti umani e far vivere la democrazia.</w:t>
      </w:r>
    </w:p>
    <w:p w14:paraId="592A6293" w14:textId="65D96355" w:rsidR="00F57405" w:rsidRPr="00C64330" w:rsidRDefault="004B5250" w:rsidP="00C64330">
      <w:pPr>
        <w:spacing w:before="100" w:beforeAutospacing="1" w:after="100" w:afterAutospacing="1" w:line="240" w:lineRule="auto"/>
        <w:jc w:val="both"/>
        <w:rPr>
          <w:rFonts w:ascii="Garamond" w:eastAsia="Times New Roman" w:hAnsi="Garamond" w:cs="Times New Roman"/>
          <w:color w:val="000000" w:themeColor="text1"/>
          <w:kern w:val="0"/>
          <w:u w:val="single"/>
          <w:vertAlign w:val="superscript"/>
          <w:lang w:val="it-IT" w:eastAsia="fr-FR"/>
          <w14:ligatures w14:val="none"/>
        </w:rPr>
      </w:pPr>
      <w:r w:rsidRPr="00C64330">
        <w:rPr>
          <w:rFonts w:ascii="Garamond" w:eastAsia="Times New Roman" w:hAnsi="Garamond" w:cs="Times New Roman"/>
          <w:color w:val="000000" w:themeColor="text1"/>
          <w:kern w:val="0"/>
          <w:lang w:val="it-IT" w:eastAsia="fr-FR"/>
          <w14:ligatures w14:val="none"/>
        </w:rPr>
        <w:t xml:space="preserve">27. La CNCDH invita a una mobilitazione ampia e democratica per difendere i diritti e lo Stato di diritto. Tutti i soggetti coinvolti, dai poteri pubblici agli eletti, dai media ai professionisti del diritto, dalle università agli imprenditori, dalle organizzazioni sindacali alle associazioni, dagli attori della società civile ai cittadini, hanno un ruolo essenziale da svolgere. Tutti sono chiamati a impegnarsi insieme, a ogni livello dell'organizzazione dello Stato, per difendere lo Stato di diritto e i diritti umani. Come sottolineato dalla Commissione di Venezia del Consiglio d'Europa nel suo parere del dicembre 2025, </w:t>
      </w:r>
      <w:r w:rsidR="00254B90" w:rsidRPr="00C64330">
        <w:rPr>
          <w:rFonts w:ascii="Garamond" w:eastAsia="Times New Roman" w:hAnsi="Garamond" w:cs="Times New Roman"/>
          <w:color w:val="000000" w:themeColor="text1"/>
          <w:kern w:val="0"/>
          <w:lang w:val="it-IT" w:eastAsia="fr-FR"/>
          <w14:ligatures w14:val="none"/>
        </w:rPr>
        <w:t>“</w:t>
      </w:r>
      <w:r w:rsidRPr="00C64330">
        <w:rPr>
          <w:rFonts w:ascii="Garamond" w:eastAsia="Times New Roman" w:hAnsi="Garamond" w:cs="Times New Roman"/>
          <w:color w:val="000000" w:themeColor="text1"/>
          <w:kern w:val="0"/>
          <w:lang w:val="it-IT" w:eastAsia="fr-FR"/>
          <w14:ligatures w14:val="none"/>
        </w:rPr>
        <w:t>lo Stato di diritto può prosperare solo in un Paese in cui i decisori politici e l'intera popolazione, nella sua diversità, si sentono collettivamente responsabili della sua attuazione, rendendolo parte integrante della propria cultura giuridica e politica</w:t>
      </w:r>
      <w:r w:rsidR="00254B90" w:rsidRPr="00C64330">
        <w:rPr>
          <w:rFonts w:ascii="Garamond" w:eastAsia="Times New Roman" w:hAnsi="Garamond" w:cs="Times New Roman"/>
          <w:color w:val="000000" w:themeColor="text1"/>
          <w:kern w:val="0"/>
          <w:lang w:val="it-IT" w:eastAsia="fr-FR"/>
          <w14:ligatures w14:val="none"/>
        </w:rPr>
        <w:t>”</w:t>
      </w:r>
      <w:r w:rsidRPr="00C64330">
        <w:rPr>
          <w:rFonts w:ascii="Garamond" w:eastAsia="Times New Roman" w:hAnsi="Garamond" w:cs="Times New Roman"/>
          <w:color w:val="000000" w:themeColor="text1"/>
          <w:kern w:val="0"/>
          <w:lang w:val="it-IT" w:eastAsia="fr-FR"/>
          <w14:ligatures w14:val="none"/>
        </w:rPr>
        <w:t>.</w:t>
      </w:r>
      <w:r w:rsidR="008E11BF" w:rsidRPr="00C64330">
        <w:rPr>
          <w:rStyle w:val="Appelnotedebasdep"/>
          <w:rFonts w:ascii="Garamond" w:eastAsia="Times New Roman" w:hAnsi="Garamond" w:cs="Times New Roman"/>
          <w:color w:val="000000" w:themeColor="text1"/>
          <w:kern w:val="0"/>
          <w:lang w:val="it-IT" w:eastAsia="fr-FR"/>
          <w14:ligatures w14:val="none"/>
        </w:rPr>
        <w:footnoteReference w:id="15"/>
      </w:r>
    </w:p>
    <w:p w14:paraId="5B08AD65" w14:textId="0E0160B7" w:rsidR="00F57405" w:rsidRPr="00C64330" w:rsidRDefault="008E11BF" w:rsidP="00C64330">
      <w:pPr>
        <w:jc w:val="both"/>
        <w:rPr>
          <w:rFonts w:ascii="Garamond" w:hAnsi="Garamond"/>
          <w:color w:val="000000" w:themeColor="text1"/>
          <w:lang w:val="it-IT"/>
        </w:rPr>
      </w:pPr>
      <w:r w:rsidRPr="00C64330">
        <w:rPr>
          <w:rFonts w:ascii="Garamond" w:hAnsi="Garamond"/>
          <w:color w:val="000000" w:themeColor="text1"/>
          <w:lang w:val="it-IT"/>
        </w:rPr>
        <w:t>28. La CNCDH si impegna pienamente in questa dinamica collettiva. Rimarrà vigile e forza propositiva e di allerta su tutte le questioni relative ai diritti umani, al diritto internazionale in tutte le sue dimensioni e all'azione umanitaria. Con determinazione, continuerà a illuminare il dibattito pubblico e a promuovere le libertà e i diritti fondamentali al servizio di una società giusta, solidale e orientata verso un futuro comune. Lo Stato di diritto è una lotta quotidiana che dobbiamo condurre insieme, affinché i diritti di ciascuno proteggano la dignità di tutti.</w:t>
      </w:r>
    </w:p>
    <w:sectPr w:rsidR="00F57405" w:rsidRPr="00C643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7FD62" w14:textId="77777777" w:rsidR="009F51D1" w:rsidRDefault="009F51D1" w:rsidP="001B425B">
      <w:pPr>
        <w:spacing w:after="0" w:line="240" w:lineRule="auto"/>
      </w:pPr>
      <w:r>
        <w:separator/>
      </w:r>
    </w:p>
  </w:endnote>
  <w:endnote w:type="continuationSeparator" w:id="0">
    <w:p w14:paraId="03676F2E" w14:textId="77777777" w:rsidR="009F51D1" w:rsidRDefault="009F51D1" w:rsidP="001B4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0629D" w14:textId="77777777" w:rsidR="009F51D1" w:rsidRDefault="009F51D1" w:rsidP="001B425B">
      <w:pPr>
        <w:spacing w:after="0" w:line="240" w:lineRule="auto"/>
      </w:pPr>
      <w:r>
        <w:separator/>
      </w:r>
    </w:p>
  </w:footnote>
  <w:footnote w:type="continuationSeparator" w:id="0">
    <w:p w14:paraId="17D75F69" w14:textId="77777777" w:rsidR="009F51D1" w:rsidRDefault="009F51D1" w:rsidP="001B425B">
      <w:pPr>
        <w:spacing w:after="0" w:line="240" w:lineRule="auto"/>
      </w:pPr>
      <w:r>
        <w:continuationSeparator/>
      </w:r>
    </w:p>
  </w:footnote>
  <w:footnote w:id="1">
    <w:p w14:paraId="71BDAA58" w14:textId="1334739D" w:rsidR="001B425B" w:rsidRPr="008E11BF" w:rsidRDefault="001B425B" w:rsidP="008E11BF">
      <w:pPr>
        <w:spacing w:after="0" w:line="240" w:lineRule="auto"/>
        <w:rPr>
          <w:rFonts w:ascii="Garamond" w:eastAsia="Times New Roman" w:hAnsi="Garamond" w:cs="Times New Roman"/>
          <w:color w:val="000000"/>
          <w:kern w:val="0"/>
          <w:sz w:val="20"/>
          <w:szCs w:val="20"/>
          <w:lang w:val="it-IT" w:eastAsia="fr-FR"/>
          <w14:ligatures w14:val="none"/>
        </w:rPr>
      </w:pPr>
      <w:r w:rsidRPr="008E11BF">
        <w:rPr>
          <w:rStyle w:val="Appelnotedebasdep"/>
          <w:rFonts w:ascii="Garamond" w:hAnsi="Garamond"/>
          <w:sz w:val="20"/>
          <w:szCs w:val="20"/>
        </w:rPr>
        <w:footnoteRef/>
      </w:r>
      <w:r w:rsidRPr="00FC27D3">
        <w:rPr>
          <w:rFonts w:ascii="Garamond" w:hAnsi="Garamond"/>
          <w:sz w:val="20"/>
          <w:szCs w:val="20"/>
          <w:lang w:val="it-IT"/>
        </w:rPr>
        <w:t xml:space="preserve"> </w:t>
      </w:r>
      <w:r w:rsidRPr="008E11BF">
        <w:rPr>
          <w:rFonts w:ascii="Garamond" w:eastAsia="Times New Roman" w:hAnsi="Garamond" w:cs="Times New Roman"/>
          <w:color w:val="000000"/>
          <w:kern w:val="0"/>
          <w:sz w:val="20"/>
          <w:szCs w:val="20"/>
          <w:lang w:val="it-IT" w:eastAsia="fr-FR"/>
          <w14:ligatures w14:val="none"/>
        </w:rPr>
        <w:t>Cfr. il</w:t>
      </w:r>
      <w:r w:rsidR="00CB4FEF">
        <w:rPr>
          <w:rFonts w:ascii="Garamond" w:eastAsia="Times New Roman" w:hAnsi="Garamond" w:cs="Times New Roman"/>
          <w:color w:val="000000"/>
          <w:kern w:val="0"/>
          <w:sz w:val="20"/>
          <w:szCs w:val="20"/>
          <w:lang w:val="it-IT" w:eastAsia="fr-FR"/>
          <w14:ligatures w14:val="none"/>
        </w:rPr>
        <w:t xml:space="preserve"> programma</w:t>
      </w:r>
      <w:r w:rsidRPr="008E11BF">
        <w:rPr>
          <w:rFonts w:ascii="Garamond" w:eastAsia="Times New Roman" w:hAnsi="Garamond" w:cs="Times New Roman"/>
          <w:color w:val="000000"/>
          <w:kern w:val="0"/>
          <w:sz w:val="20"/>
          <w:szCs w:val="20"/>
          <w:lang w:val="it-IT" w:eastAsia="fr-FR"/>
          <w14:ligatures w14:val="none"/>
        </w:rPr>
        <w:t> del</w:t>
      </w:r>
      <w:r w:rsidR="004B5250" w:rsidRPr="008E11BF">
        <w:rPr>
          <w:rFonts w:ascii="Garamond" w:eastAsia="Times New Roman" w:hAnsi="Garamond" w:cs="Times New Roman"/>
          <w:color w:val="000000"/>
          <w:kern w:val="0"/>
          <w:sz w:val="20"/>
          <w:szCs w:val="20"/>
          <w:lang w:val="it-IT" w:eastAsia="fr-FR"/>
          <w14:ligatures w14:val="none"/>
        </w:rPr>
        <w:t xml:space="preserve"> primo congresso </w:t>
      </w:r>
      <w:r w:rsidRPr="008E11BF">
        <w:rPr>
          <w:rFonts w:ascii="Garamond" w:eastAsia="Times New Roman" w:hAnsi="Garamond" w:cs="Times New Roman"/>
          <w:color w:val="000000"/>
          <w:kern w:val="0"/>
          <w:sz w:val="20"/>
          <w:szCs w:val="20"/>
          <w:lang w:val="it-IT" w:eastAsia="fr-FR"/>
          <w14:ligatures w14:val="none"/>
        </w:rPr>
        <w:t>dei diritti umani della CNCDH.</w:t>
      </w:r>
    </w:p>
  </w:footnote>
  <w:footnote w:id="2">
    <w:p w14:paraId="2279BCA6" w14:textId="067663A7" w:rsidR="001B425B" w:rsidRPr="00FC27D3" w:rsidRDefault="001B425B" w:rsidP="008E11BF">
      <w:pPr>
        <w:pStyle w:val="Notedebasdepage"/>
        <w:rPr>
          <w:rFonts w:ascii="Garamond" w:hAnsi="Garamond"/>
          <w:lang w:val="it-IT"/>
        </w:rPr>
      </w:pPr>
      <w:r w:rsidRPr="008E11BF">
        <w:rPr>
          <w:rStyle w:val="Appelnotedebasdep"/>
          <w:rFonts w:ascii="Garamond" w:hAnsi="Garamond"/>
        </w:rPr>
        <w:footnoteRef/>
      </w:r>
      <w:r w:rsidRPr="00FC27D3">
        <w:rPr>
          <w:rFonts w:ascii="Garamond" w:hAnsi="Garamond"/>
          <w:lang w:val="it-IT"/>
        </w:rPr>
        <w:t xml:space="preserve"> </w:t>
      </w:r>
      <w:r w:rsidRPr="008E11BF">
        <w:rPr>
          <w:rFonts w:ascii="Garamond" w:eastAsia="Times New Roman" w:hAnsi="Garamond" w:cs="Times New Roman"/>
          <w:color w:val="000000"/>
          <w:kern w:val="0"/>
          <w:lang w:val="it-IT" w:eastAsia="fr-FR"/>
          <w14:ligatures w14:val="none"/>
        </w:rPr>
        <w:t>Cfr. la</w:t>
      </w:r>
      <w:r w:rsidR="00CB4FEF">
        <w:rPr>
          <w:rFonts w:ascii="Garamond" w:eastAsia="Times New Roman" w:hAnsi="Garamond" w:cs="Times New Roman"/>
          <w:color w:val="000000"/>
          <w:kern w:val="0"/>
          <w:lang w:val="it-IT" w:eastAsia="fr-FR"/>
          <w14:ligatures w14:val="none"/>
        </w:rPr>
        <w:t xml:space="preserve"> pagina su</w:t>
      </w:r>
      <w:r w:rsidRPr="008E11BF">
        <w:rPr>
          <w:rFonts w:ascii="Garamond" w:eastAsia="Times New Roman" w:hAnsi="Garamond" w:cs="Times New Roman"/>
          <w:color w:val="000000"/>
          <w:kern w:val="0"/>
          <w:lang w:val="it-IT" w:eastAsia="fr-FR"/>
          <w14:ligatures w14:val="none"/>
        </w:rPr>
        <w:t>ll'Iniziativa Giovani sul sito della CNCDH.</w:t>
      </w:r>
    </w:p>
  </w:footnote>
  <w:footnote w:id="3">
    <w:p w14:paraId="4022CF8C" w14:textId="35B5A176" w:rsidR="001B425B" w:rsidRPr="00FC27D3" w:rsidRDefault="001B425B" w:rsidP="008E11BF">
      <w:pPr>
        <w:pStyle w:val="Notedebasdepage"/>
        <w:rPr>
          <w:rFonts w:ascii="Garamond" w:hAnsi="Garamond"/>
          <w:lang w:val="it-IT"/>
        </w:rPr>
      </w:pPr>
      <w:r w:rsidRPr="008E11BF">
        <w:rPr>
          <w:rStyle w:val="Appelnotedebasdep"/>
          <w:rFonts w:ascii="Garamond" w:hAnsi="Garamond"/>
        </w:rPr>
        <w:footnoteRef/>
      </w:r>
      <w:r w:rsidRPr="00FC27D3">
        <w:rPr>
          <w:rFonts w:ascii="Garamond" w:hAnsi="Garamond"/>
          <w:lang w:val="it-IT"/>
        </w:rPr>
        <w:t xml:space="preserve"> </w:t>
      </w:r>
      <w:r w:rsidR="00CB4FEF" w:rsidRPr="00CB4FEF">
        <w:rPr>
          <w:rFonts w:ascii="Garamond" w:eastAsia="Times New Roman" w:hAnsi="Garamond" w:cs="Times New Roman"/>
          <w:color w:val="000000"/>
          <w:kern w:val="0"/>
          <w:lang w:val="it-IT" w:eastAsia="fr-FR"/>
          <w14:ligatures w14:val="none"/>
        </w:rPr>
        <w:t xml:space="preserve">CNCDH, Parere sulla restrizione dello spazio civico: una sfida importante per la democrazia e i diritti umani (A - 2025 - 7), Assemblea plenaria del 17 giugno 2025; Parere sulla sorveglianza dello spazio pubblico, Assemblea plenaria del 20 giugno 2024; Parere </w:t>
      </w:r>
      <w:r w:rsidR="00CB4FEF">
        <w:rPr>
          <w:rFonts w:ascii="Garamond" w:eastAsia="Times New Roman" w:hAnsi="Garamond" w:cs="Times New Roman"/>
          <w:color w:val="000000"/>
          <w:kern w:val="0"/>
          <w:lang w:val="it-IT" w:eastAsia="fr-FR"/>
          <w14:ligatures w14:val="none"/>
        </w:rPr>
        <w:t>“</w:t>
      </w:r>
      <w:r w:rsidR="00CB4FEF" w:rsidRPr="00CB4FEF">
        <w:rPr>
          <w:rFonts w:ascii="Garamond" w:eastAsia="Times New Roman" w:hAnsi="Garamond" w:cs="Times New Roman"/>
          <w:color w:val="000000"/>
          <w:kern w:val="0"/>
          <w:lang w:val="it-IT" w:eastAsia="fr-FR"/>
          <w14:ligatures w14:val="none"/>
        </w:rPr>
        <w:t>Le libertà alla prova dei grandi eventi: l'esperienza dei Giochi olimpici e paralimpici</w:t>
      </w:r>
      <w:r w:rsidR="00CB4FEF">
        <w:rPr>
          <w:rFonts w:ascii="Garamond" w:eastAsia="Times New Roman" w:hAnsi="Garamond" w:cs="Times New Roman"/>
          <w:color w:val="000000"/>
          <w:kern w:val="0"/>
          <w:lang w:val="it-IT" w:eastAsia="fr-FR"/>
          <w14:ligatures w14:val="none"/>
        </w:rPr>
        <w:t>”</w:t>
      </w:r>
      <w:r w:rsidR="00CB4FEF" w:rsidRPr="00CB4FEF">
        <w:rPr>
          <w:rFonts w:ascii="Garamond" w:eastAsia="Times New Roman" w:hAnsi="Garamond" w:cs="Times New Roman"/>
          <w:color w:val="000000"/>
          <w:kern w:val="0"/>
          <w:lang w:val="it-IT" w:eastAsia="fr-FR"/>
          <w14:ligatures w14:val="none"/>
        </w:rPr>
        <w:t xml:space="preserve"> (A – 2025 – 9), Assemblea plenaria del 14 ottobre </w:t>
      </w:r>
      <w:proofErr w:type="gramStart"/>
      <w:r w:rsidR="00CB4FEF" w:rsidRPr="00CB4FEF">
        <w:rPr>
          <w:rFonts w:ascii="Garamond" w:eastAsia="Times New Roman" w:hAnsi="Garamond" w:cs="Times New Roman"/>
          <w:color w:val="000000"/>
          <w:kern w:val="0"/>
          <w:lang w:val="it-IT" w:eastAsia="fr-FR"/>
          <w14:ligatures w14:val="none"/>
        </w:rPr>
        <w:t>2025.</w:t>
      </w:r>
      <w:r w:rsidRPr="008E11BF">
        <w:rPr>
          <w:rFonts w:ascii="Garamond" w:eastAsia="Times New Roman" w:hAnsi="Garamond" w:cs="Times New Roman"/>
          <w:color w:val="000000"/>
          <w:kern w:val="0"/>
          <w:lang w:val="it-IT" w:eastAsia="fr-FR"/>
          <w14:ligatures w14:val="none"/>
        </w:rPr>
        <w:t>.</w:t>
      </w:r>
      <w:proofErr w:type="gramEnd"/>
    </w:p>
  </w:footnote>
  <w:footnote w:id="4">
    <w:p w14:paraId="47024D83" w14:textId="153DB2AF" w:rsidR="001B425B" w:rsidRPr="008E11BF" w:rsidRDefault="001B425B" w:rsidP="008E11BF">
      <w:pPr>
        <w:spacing w:after="0" w:line="240" w:lineRule="auto"/>
        <w:rPr>
          <w:rFonts w:ascii="Garamond" w:eastAsia="Times New Roman" w:hAnsi="Garamond" w:cs="Times New Roman"/>
          <w:color w:val="000000"/>
          <w:kern w:val="0"/>
          <w:sz w:val="20"/>
          <w:szCs w:val="20"/>
          <w:lang w:val="it-IT" w:eastAsia="fr-FR"/>
          <w14:ligatures w14:val="none"/>
        </w:rPr>
      </w:pPr>
      <w:r w:rsidRPr="008E11BF">
        <w:rPr>
          <w:rStyle w:val="Appelnotedebasdep"/>
          <w:rFonts w:ascii="Garamond" w:hAnsi="Garamond"/>
          <w:sz w:val="20"/>
          <w:szCs w:val="20"/>
        </w:rPr>
        <w:footnoteRef/>
      </w:r>
      <w:r w:rsidRPr="00FC27D3">
        <w:rPr>
          <w:rFonts w:ascii="Garamond" w:hAnsi="Garamond"/>
          <w:sz w:val="20"/>
          <w:szCs w:val="20"/>
          <w:lang w:val="it-IT"/>
        </w:rPr>
        <w:t xml:space="preserve"> </w:t>
      </w:r>
      <w:r w:rsidR="00CB4FEF" w:rsidRPr="00CB4FEF">
        <w:rPr>
          <w:rFonts w:ascii="Garamond" w:eastAsia="Times New Roman" w:hAnsi="Garamond" w:cs="Times New Roman"/>
          <w:color w:val="000000"/>
          <w:kern w:val="0"/>
          <w:sz w:val="20"/>
          <w:szCs w:val="20"/>
          <w:lang w:val="it-IT" w:eastAsia="fr-FR"/>
          <w14:ligatures w14:val="none"/>
        </w:rPr>
        <w:t xml:space="preserve">CNCDH, Parere </w:t>
      </w:r>
      <w:r w:rsidR="00CB4FEF">
        <w:rPr>
          <w:rFonts w:ascii="Garamond" w:eastAsia="Times New Roman" w:hAnsi="Garamond" w:cs="Times New Roman"/>
          <w:color w:val="000000"/>
          <w:kern w:val="0"/>
          <w:sz w:val="20"/>
          <w:szCs w:val="20"/>
          <w:lang w:val="it-IT" w:eastAsia="fr-FR"/>
          <w14:ligatures w14:val="none"/>
        </w:rPr>
        <w:t>“</w:t>
      </w:r>
      <w:r w:rsidR="00CB4FEF" w:rsidRPr="00CB4FEF">
        <w:rPr>
          <w:rFonts w:ascii="Garamond" w:eastAsia="Times New Roman" w:hAnsi="Garamond" w:cs="Times New Roman"/>
          <w:color w:val="000000"/>
          <w:kern w:val="0"/>
          <w:sz w:val="20"/>
          <w:szCs w:val="20"/>
          <w:lang w:val="it-IT" w:eastAsia="fr-FR"/>
          <w14:ligatures w14:val="none"/>
        </w:rPr>
        <w:t>Lotta contro le procedure intimidatorie</w:t>
      </w:r>
      <w:r w:rsidR="00CB4FEF">
        <w:rPr>
          <w:rFonts w:ascii="Garamond" w:eastAsia="Times New Roman" w:hAnsi="Garamond" w:cs="Times New Roman"/>
          <w:color w:val="000000"/>
          <w:kern w:val="0"/>
          <w:sz w:val="20"/>
          <w:szCs w:val="20"/>
          <w:lang w:val="it-IT" w:eastAsia="fr-FR"/>
          <w14:ligatures w14:val="none"/>
        </w:rPr>
        <w:t>”</w:t>
      </w:r>
      <w:r w:rsidR="00CB4FEF" w:rsidRPr="00CB4FEF">
        <w:rPr>
          <w:rFonts w:ascii="Garamond" w:eastAsia="Times New Roman" w:hAnsi="Garamond" w:cs="Times New Roman"/>
          <w:color w:val="000000"/>
          <w:kern w:val="0"/>
          <w:sz w:val="20"/>
          <w:szCs w:val="20"/>
          <w:lang w:val="it-IT" w:eastAsia="fr-FR"/>
          <w14:ligatures w14:val="none"/>
        </w:rPr>
        <w:t xml:space="preserve"> in occasione del recepimento della direttiva (UE) 2024/1069 dell'11 aprile 2024 (A – 2025 – 2), Assemblea plenaria del 13 febbraio 2025</w:t>
      </w:r>
      <w:r w:rsidRPr="008E11BF">
        <w:rPr>
          <w:rFonts w:ascii="Garamond" w:eastAsia="Times New Roman" w:hAnsi="Garamond" w:cs="Times New Roman"/>
          <w:color w:val="000000"/>
          <w:kern w:val="0"/>
          <w:sz w:val="20"/>
          <w:szCs w:val="20"/>
          <w:lang w:val="it-IT" w:eastAsia="fr-FR"/>
          <w14:ligatures w14:val="none"/>
        </w:rPr>
        <w:t>.</w:t>
      </w:r>
    </w:p>
  </w:footnote>
  <w:footnote w:id="5">
    <w:p w14:paraId="5F774CD6" w14:textId="63481398" w:rsidR="001B425B" w:rsidRPr="00FC27D3" w:rsidRDefault="001B425B" w:rsidP="008E11BF">
      <w:pPr>
        <w:pStyle w:val="Notedebasdepage"/>
        <w:rPr>
          <w:rFonts w:ascii="Garamond" w:hAnsi="Garamond"/>
          <w:lang w:val="it-IT"/>
        </w:rPr>
      </w:pPr>
      <w:r w:rsidRPr="008E11BF">
        <w:rPr>
          <w:rStyle w:val="Appelnotedebasdep"/>
          <w:rFonts w:ascii="Garamond" w:hAnsi="Garamond"/>
        </w:rPr>
        <w:footnoteRef/>
      </w:r>
      <w:r w:rsidRPr="00FC27D3">
        <w:rPr>
          <w:rFonts w:ascii="Garamond" w:hAnsi="Garamond"/>
          <w:lang w:val="it-IT"/>
        </w:rPr>
        <w:t xml:space="preserve"> </w:t>
      </w:r>
      <w:r w:rsidR="00CB4FEF">
        <w:rPr>
          <w:rFonts w:ascii="Garamond" w:eastAsia="Times New Roman" w:hAnsi="Garamond" w:cs="Times New Roman"/>
          <w:color w:val="000000"/>
          <w:kern w:val="0"/>
          <w:lang w:val="it-IT" w:eastAsia="fr-FR"/>
          <w14:ligatures w14:val="none"/>
        </w:rPr>
        <w:t>C</w:t>
      </w:r>
      <w:r w:rsidR="00CB4FEF" w:rsidRPr="00CB4FEF">
        <w:rPr>
          <w:rFonts w:ascii="Garamond" w:eastAsia="Times New Roman" w:hAnsi="Garamond" w:cs="Times New Roman"/>
          <w:color w:val="000000"/>
          <w:kern w:val="0"/>
          <w:lang w:val="it-IT" w:eastAsia="fr-FR"/>
          <w14:ligatures w14:val="none"/>
        </w:rPr>
        <w:t>fr. CNCDH, Parere «Le libertà alla prova dei grandi eventi – l'esperienza dei Giochi olimpici e paralimpici» (A - 2025 - 9), Assemblea plenaria del 14 ottobre 2025.</w:t>
      </w:r>
    </w:p>
  </w:footnote>
  <w:footnote w:id="6">
    <w:p w14:paraId="1D6096C5" w14:textId="71BFA93A" w:rsidR="001B425B" w:rsidRPr="008E11BF" w:rsidRDefault="001B425B" w:rsidP="008E11BF">
      <w:pPr>
        <w:spacing w:after="0" w:line="240" w:lineRule="auto"/>
        <w:rPr>
          <w:rFonts w:ascii="Garamond" w:eastAsia="Times New Roman" w:hAnsi="Garamond" w:cs="Times New Roman"/>
          <w:color w:val="000000"/>
          <w:kern w:val="0"/>
          <w:sz w:val="20"/>
          <w:szCs w:val="20"/>
          <w:lang w:val="it-IT" w:eastAsia="fr-FR"/>
          <w14:ligatures w14:val="none"/>
        </w:rPr>
      </w:pPr>
      <w:r w:rsidRPr="008E11BF">
        <w:rPr>
          <w:rStyle w:val="Appelnotedebasdep"/>
          <w:rFonts w:ascii="Garamond" w:hAnsi="Garamond"/>
          <w:sz w:val="20"/>
          <w:szCs w:val="20"/>
        </w:rPr>
        <w:footnoteRef/>
      </w:r>
      <w:r w:rsidRPr="00FC27D3">
        <w:rPr>
          <w:rFonts w:ascii="Garamond" w:hAnsi="Garamond"/>
          <w:sz w:val="20"/>
          <w:szCs w:val="20"/>
          <w:lang w:val="it-IT"/>
        </w:rPr>
        <w:t xml:space="preserve"> </w:t>
      </w:r>
      <w:r w:rsidR="00CB4FEF" w:rsidRPr="00CB4FEF">
        <w:rPr>
          <w:rFonts w:ascii="Garamond" w:eastAsia="Times New Roman" w:hAnsi="Garamond" w:cs="Times New Roman"/>
          <w:color w:val="000000"/>
          <w:kern w:val="0"/>
          <w:sz w:val="20"/>
          <w:szCs w:val="20"/>
          <w:lang w:val="it-IT" w:eastAsia="fr-FR"/>
          <w14:ligatures w14:val="none"/>
        </w:rPr>
        <w:t>Cfr. CNCDH, Parere sul monitoraggio dello stato di emergenza e sulle misure antiterrorismo della legge del 21 luglio 2016, Assemblea plenaria del 26 gennaio 2017, e Parere sul progetto di legge volto a rafforzare la sicurezza interna e la lotta al terrorismo, Assemblea plenaria del 6 luglio 2017</w:t>
      </w:r>
      <w:r w:rsidRPr="008E11BF">
        <w:rPr>
          <w:rFonts w:ascii="Garamond" w:eastAsia="Times New Roman" w:hAnsi="Garamond" w:cs="Times New Roman"/>
          <w:color w:val="000000"/>
          <w:kern w:val="0"/>
          <w:sz w:val="20"/>
          <w:szCs w:val="20"/>
          <w:lang w:val="it-IT" w:eastAsia="fr-FR"/>
          <w14:ligatures w14:val="none"/>
        </w:rPr>
        <w:t>.</w:t>
      </w:r>
    </w:p>
  </w:footnote>
  <w:footnote w:id="7">
    <w:p w14:paraId="2BB6378D" w14:textId="3FBB7927" w:rsidR="001B425B" w:rsidRPr="008E11BF" w:rsidRDefault="001B425B" w:rsidP="008E11BF">
      <w:pPr>
        <w:spacing w:after="0" w:line="240" w:lineRule="auto"/>
        <w:rPr>
          <w:rFonts w:ascii="Garamond" w:eastAsia="Times New Roman" w:hAnsi="Garamond" w:cs="Times New Roman"/>
          <w:color w:val="000000"/>
          <w:kern w:val="0"/>
          <w:sz w:val="20"/>
          <w:szCs w:val="20"/>
          <w:lang w:val="it-IT" w:eastAsia="fr-FR"/>
          <w14:ligatures w14:val="none"/>
        </w:rPr>
      </w:pPr>
      <w:r w:rsidRPr="008E11BF">
        <w:rPr>
          <w:rStyle w:val="Appelnotedebasdep"/>
          <w:rFonts w:ascii="Garamond" w:hAnsi="Garamond"/>
          <w:sz w:val="20"/>
          <w:szCs w:val="20"/>
        </w:rPr>
        <w:footnoteRef/>
      </w:r>
      <w:r w:rsidRPr="00FC27D3">
        <w:rPr>
          <w:rFonts w:ascii="Garamond" w:hAnsi="Garamond"/>
          <w:sz w:val="20"/>
          <w:szCs w:val="20"/>
          <w:lang w:val="it-IT"/>
        </w:rPr>
        <w:t xml:space="preserve"> </w:t>
      </w:r>
      <w:r w:rsidR="00CB4FEF" w:rsidRPr="00CB4FEF">
        <w:rPr>
          <w:rFonts w:ascii="Garamond" w:eastAsia="Times New Roman" w:hAnsi="Garamond" w:cs="Times New Roman"/>
          <w:color w:val="000000"/>
          <w:kern w:val="0"/>
          <w:sz w:val="20"/>
          <w:szCs w:val="20"/>
          <w:lang w:val="it-IT" w:eastAsia="fr-FR"/>
          <w14:ligatures w14:val="none"/>
        </w:rPr>
        <w:t>CNCDH, Parere «Stato di emergenza sanitaria e Stato di diritto» (A - 2020 - 3), Assemblea plenaria del 28 aprile 2020.</w:t>
      </w:r>
    </w:p>
  </w:footnote>
  <w:footnote w:id="8">
    <w:p w14:paraId="7B3BEBA8" w14:textId="0F5C5CA7" w:rsidR="008C41B6" w:rsidRPr="00FC27D3" w:rsidRDefault="008C41B6" w:rsidP="008E11BF">
      <w:pPr>
        <w:pStyle w:val="Notedebasdepage"/>
        <w:rPr>
          <w:rFonts w:ascii="Garamond" w:hAnsi="Garamond"/>
          <w:lang w:val="it-IT"/>
        </w:rPr>
      </w:pPr>
      <w:r w:rsidRPr="008E11BF">
        <w:rPr>
          <w:rStyle w:val="Appelnotedebasdep"/>
          <w:rFonts w:ascii="Garamond" w:hAnsi="Garamond"/>
        </w:rPr>
        <w:footnoteRef/>
      </w:r>
      <w:r w:rsidRPr="008E11BF">
        <w:rPr>
          <w:rFonts w:ascii="Garamond" w:eastAsia="Times New Roman" w:hAnsi="Garamond" w:cs="Times New Roman"/>
          <w:color w:val="000000"/>
          <w:kern w:val="0"/>
          <w:lang w:val="it-IT" w:eastAsia="fr-FR"/>
          <w14:ligatures w14:val="none"/>
        </w:rPr>
        <w:t xml:space="preserve"> </w:t>
      </w:r>
      <w:r w:rsidR="00CB4FEF" w:rsidRPr="00CB4FEF">
        <w:rPr>
          <w:rFonts w:ascii="Garamond" w:eastAsia="Times New Roman" w:hAnsi="Garamond" w:cs="Times New Roman"/>
          <w:color w:val="000000"/>
          <w:kern w:val="0"/>
          <w:lang w:val="it-IT" w:eastAsia="fr-FR"/>
          <w14:ligatures w14:val="none"/>
        </w:rPr>
        <w:t>CNCDH, Parere sulla lotta contro l'odio online (A - 2021 - 9), Assemblea plenaria del 7 luglio 2021</w:t>
      </w:r>
      <w:r w:rsidR="00CB4FEF">
        <w:rPr>
          <w:rFonts w:ascii="Garamond" w:eastAsia="Times New Roman" w:hAnsi="Garamond" w:cs="Times New Roman"/>
          <w:color w:val="000000"/>
          <w:kern w:val="0"/>
          <w:lang w:val="it-IT" w:eastAsia="fr-FR"/>
          <w14:ligatures w14:val="none"/>
        </w:rPr>
        <w:t>.</w:t>
      </w:r>
    </w:p>
  </w:footnote>
  <w:footnote w:id="9">
    <w:p w14:paraId="24780AC3" w14:textId="3A48607F" w:rsidR="008C41B6" w:rsidRPr="00FC27D3" w:rsidRDefault="008C41B6" w:rsidP="008E11BF">
      <w:pPr>
        <w:pStyle w:val="Notedebasdepage"/>
        <w:rPr>
          <w:rFonts w:ascii="Garamond" w:hAnsi="Garamond"/>
          <w:lang w:val="it-IT"/>
        </w:rPr>
      </w:pPr>
      <w:r w:rsidRPr="008E11BF">
        <w:rPr>
          <w:rStyle w:val="Appelnotedebasdep"/>
          <w:rFonts w:ascii="Garamond" w:hAnsi="Garamond"/>
        </w:rPr>
        <w:footnoteRef/>
      </w:r>
      <w:r w:rsidRPr="008E11BF">
        <w:rPr>
          <w:rFonts w:ascii="Garamond" w:eastAsia="Times New Roman" w:hAnsi="Garamond" w:cs="Times New Roman"/>
          <w:color w:val="000000"/>
          <w:kern w:val="0"/>
          <w:lang w:val="it-IT" w:eastAsia="fr-FR"/>
          <w14:ligatures w14:val="none"/>
        </w:rPr>
        <w:t xml:space="preserve"> </w:t>
      </w:r>
      <w:r w:rsidR="00CB4FEF" w:rsidRPr="00CB4FEF">
        <w:rPr>
          <w:rFonts w:ascii="Garamond" w:eastAsia="Times New Roman" w:hAnsi="Garamond" w:cs="Times New Roman"/>
          <w:color w:val="000000"/>
          <w:kern w:val="0"/>
          <w:lang w:val="it-IT" w:eastAsia="fr-FR"/>
          <w14:ligatures w14:val="none"/>
        </w:rPr>
        <w:t>CNCDH, Parere sull'accesso ai diritti e il mancato ricorso (A - 2022 - 4), Assemblea plenaria del 24 marzo 2022</w:t>
      </w:r>
      <w:r w:rsidR="00CB4FEF">
        <w:rPr>
          <w:rFonts w:ascii="Garamond" w:eastAsia="Times New Roman" w:hAnsi="Garamond" w:cs="Times New Roman"/>
          <w:color w:val="000000"/>
          <w:kern w:val="0"/>
          <w:lang w:val="it-IT" w:eastAsia="fr-FR"/>
          <w14:ligatures w14:val="none"/>
        </w:rPr>
        <w:t>.</w:t>
      </w:r>
    </w:p>
  </w:footnote>
  <w:footnote w:id="10">
    <w:p w14:paraId="6DA97DC9" w14:textId="3A389576" w:rsidR="00450631" w:rsidRPr="00FC27D3" w:rsidRDefault="00450631" w:rsidP="008E11BF">
      <w:pPr>
        <w:pStyle w:val="Notedebasdepage"/>
        <w:rPr>
          <w:rFonts w:ascii="Garamond" w:hAnsi="Garamond"/>
          <w:lang w:val="it-IT"/>
        </w:rPr>
      </w:pPr>
      <w:r w:rsidRPr="008E11BF">
        <w:rPr>
          <w:rStyle w:val="Appelnotedebasdep"/>
          <w:rFonts w:ascii="Garamond" w:hAnsi="Garamond"/>
        </w:rPr>
        <w:footnoteRef/>
      </w:r>
      <w:r w:rsidRPr="00FC27D3">
        <w:rPr>
          <w:rFonts w:ascii="Garamond" w:hAnsi="Garamond"/>
          <w:lang w:val="it-IT"/>
        </w:rPr>
        <w:t xml:space="preserve"> </w:t>
      </w:r>
      <w:r w:rsidR="00CB4FEF">
        <w:rPr>
          <w:rFonts w:ascii="Garamond" w:eastAsia="Times New Roman" w:hAnsi="Garamond" w:cs="Times New Roman"/>
          <w:color w:val="000000"/>
          <w:kern w:val="0"/>
          <w:lang w:val="it-IT" w:eastAsia="fr-FR"/>
          <w14:ligatures w14:val="none"/>
        </w:rPr>
        <w:t>Cfr. l</w:t>
      </w:r>
      <w:r w:rsidR="00BE5274" w:rsidRPr="008E11BF">
        <w:rPr>
          <w:rFonts w:ascii="Garamond" w:eastAsia="Times New Roman" w:hAnsi="Garamond" w:cs="Times New Roman"/>
          <w:color w:val="000000"/>
          <w:kern w:val="0"/>
          <w:lang w:val="it-IT" w:eastAsia="fr-FR"/>
          <w14:ligatures w14:val="none"/>
        </w:rPr>
        <w:t>ettera del Presidente della CNCDH al giudice Nicolas Guillou, del 5 dicembre 2025. </w:t>
      </w:r>
    </w:p>
  </w:footnote>
  <w:footnote w:id="11">
    <w:p w14:paraId="5C632986" w14:textId="195163AD" w:rsidR="00BE5274" w:rsidRPr="00FC27D3" w:rsidRDefault="00BE5274" w:rsidP="008E11BF">
      <w:pPr>
        <w:pStyle w:val="Notedebasdepage"/>
        <w:rPr>
          <w:rFonts w:ascii="Garamond" w:hAnsi="Garamond"/>
          <w:lang w:val="it-IT"/>
        </w:rPr>
      </w:pPr>
      <w:r w:rsidRPr="008E11BF">
        <w:rPr>
          <w:rStyle w:val="Appelnotedebasdep"/>
          <w:rFonts w:ascii="Garamond" w:hAnsi="Garamond"/>
        </w:rPr>
        <w:footnoteRef/>
      </w:r>
      <w:r w:rsidRPr="00FC27D3">
        <w:rPr>
          <w:rFonts w:ascii="Garamond" w:hAnsi="Garamond"/>
          <w:lang w:val="it-IT"/>
        </w:rPr>
        <w:t xml:space="preserve"> </w:t>
      </w:r>
      <w:r w:rsidR="00CB4FEF" w:rsidRPr="00CB4FEF">
        <w:rPr>
          <w:rFonts w:ascii="Garamond" w:eastAsia="Times New Roman" w:hAnsi="Garamond" w:cs="Times New Roman"/>
          <w:color w:val="000000"/>
          <w:kern w:val="0"/>
          <w:lang w:val="it-IT" w:eastAsia="fr-FR"/>
          <w14:ligatures w14:val="none"/>
        </w:rPr>
        <w:t>CNCDH, Dichiarazione relativa agli obblighi della Francia in materia di attuazione del diritto internazionale umanitario (D - 2025 - 1), Assemblea plenaria del 23 gennaio 2025.</w:t>
      </w:r>
    </w:p>
  </w:footnote>
  <w:footnote w:id="12">
    <w:p w14:paraId="38CDF775" w14:textId="2E75E998" w:rsidR="004B5250" w:rsidRPr="008E11BF" w:rsidRDefault="004B5250" w:rsidP="008E11BF">
      <w:pPr>
        <w:spacing w:after="0" w:line="240" w:lineRule="auto"/>
        <w:rPr>
          <w:rFonts w:ascii="Garamond" w:eastAsia="Times New Roman" w:hAnsi="Garamond" w:cs="Times New Roman"/>
          <w:color w:val="000000"/>
          <w:kern w:val="0"/>
          <w:sz w:val="20"/>
          <w:szCs w:val="20"/>
          <w:lang w:val="it-IT" w:eastAsia="fr-FR"/>
          <w14:ligatures w14:val="none"/>
        </w:rPr>
      </w:pPr>
      <w:r w:rsidRPr="008E11BF">
        <w:rPr>
          <w:rStyle w:val="Appelnotedebasdep"/>
          <w:rFonts w:ascii="Garamond" w:hAnsi="Garamond"/>
          <w:sz w:val="20"/>
          <w:szCs w:val="20"/>
        </w:rPr>
        <w:footnoteRef/>
      </w:r>
      <w:r w:rsidRPr="00FC27D3">
        <w:rPr>
          <w:rFonts w:ascii="Garamond" w:hAnsi="Garamond"/>
          <w:sz w:val="20"/>
          <w:szCs w:val="20"/>
          <w:lang w:val="it-IT"/>
        </w:rPr>
        <w:t xml:space="preserve"> </w:t>
      </w:r>
      <w:r w:rsidR="00CB4FEF" w:rsidRPr="00CB4FEF">
        <w:rPr>
          <w:rFonts w:ascii="Garamond" w:eastAsia="Times New Roman" w:hAnsi="Garamond" w:cs="Times New Roman"/>
          <w:color w:val="000000"/>
          <w:kern w:val="0"/>
          <w:sz w:val="20"/>
          <w:szCs w:val="20"/>
          <w:lang w:val="it-IT" w:eastAsia="fr-FR"/>
          <w14:ligatures w14:val="none"/>
        </w:rPr>
        <w:t>CNCDH, Parere sugli organi dei trattati delle Nazioni Unite: difendere i difensori dei diritti umani (A – 2025 – 8), Assemblea plenaria del 25 settembre 2025.</w:t>
      </w:r>
    </w:p>
  </w:footnote>
  <w:footnote w:id="13">
    <w:p w14:paraId="1BAE6ECC" w14:textId="098C6957" w:rsidR="004B5250" w:rsidRPr="00FC27D3" w:rsidRDefault="004B5250" w:rsidP="008E11BF">
      <w:pPr>
        <w:pStyle w:val="Notedebasdepage"/>
        <w:rPr>
          <w:rFonts w:ascii="Garamond" w:hAnsi="Garamond"/>
          <w:lang w:val="it-IT"/>
        </w:rPr>
      </w:pPr>
      <w:r w:rsidRPr="008E11BF">
        <w:rPr>
          <w:rStyle w:val="Appelnotedebasdep"/>
          <w:rFonts w:ascii="Garamond" w:hAnsi="Garamond"/>
        </w:rPr>
        <w:footnoteRef/>
      </w:r>
      <w:r w:rsidRPr="00FC27D3">
        <w:rPr>
          <w:rFonts w:ascii="Garamond" w:hAnsi="Garamond"/>
          <w:lang w:val="it-IT"/>
        </w:rPr>
        <w:t xml:space="preserve"> </w:t>
      </w:r>
      <w:r w:rsidR="00CB4FEF" w:rsidRPr="00CB4FEF">
        <w:rPr>
          <w:rFonts w:ascii="Garamond" w:eastAsia="Times New Roman" w:hAnsi="Garamond" w:cs="Times New Roman"/>
          <w:color w:val="000000"/>
          <w:kern w:val="0"/>
          <w:lang w:val="it-IT" w:eastAsia="fr-FR"/>
          <w14:ligatures w14:val="none"/>
        </w:rPr>
        <w:t>CNCDH, Dichiarazione «Per l'istituzione di un meccanismo nazionale di elaborazione delle relazioni e di monitoraggio delle raccomandazioni nell'ambito delle revisioni della Francia da parte delle organizzazioni internazionali e regionali per i diritti umani» (D - 2024 - 8), Assemblea plenaria del 19 dicembre 2024; Dichiarazione sull'esecuzione delle decisioni della Corte europea dei diritti dell'uomo (D – 2024 – 4), Assemblea plenaria del 26 settembre 2024</w:t>
      </w:r>
      <w:r w:rsidRPr="008E11BF">
        <w:rPr>
          <w:rFonts w:ascii="Garamond" w:eastAsia="Times New Roman" w:hAnsi="Garamond" w:cs="Times New Roman"/>
          <w:color w:val="000000"/>
          <w:kern w:val="0"/>
          <w:lang w:val="it-IT" w:eastAsia="fr-FR"/>
          <w14:ligatures w14:val="none"/>
        </w:rPr>
        <w:t>.</w:t>
      </w:r>
    </w:p>
  </w:footnote>
  <w:footnote w:id="14">
    <w:p w14:paraId="42A741CC" w14:textId="2C0EB102" w:rsidR="004B5250" w:rsidRPr="00FC27D3" w:rsidRDefault="004B5250" w:rsidP="008E11BF">
      <w:pPr>
        <w:pStyle w:val="Notedebasdepage"/>
        <w:rPr>
          <w:rFonts w:ascii="Garamond" w:hAnsi="Garamond"/>
          <w:lang w:val="it-IT"/>
        </w:rPr>
      </w:pPr>
      <w:r w:rsidRPr="008E11BF">
        <w:rPr>
          <w:rStyle w:val="Appelnotedebasdep"/>
          <w:rFonts w:ascii="Garamond" w:hAnsi="Garamond"/>
        </w:rPr>
        <w:footnoteRef/>
      </w:r>
      <w:r w:rsidRPr="00FC27D3">
        <w:rPr>
          <w:rFonts w:ascii="Garamond" w:hAnsi="Garamond"/>
          <w:lang w:val="it-IT"/>
        </w:rPr>
        <w:t xml:space="preserve"> </w:t>
      </w:r>
      <w:r w:rsidR="00E2252F" w:rsidRPr="00E2252F">
        <w:rPr>
          <w:rFonts w:ascii="Garamond" w:eastAsia="Times New Roman" w:hAnsi="Garamond" w:cs="Times New Roman"/>
          <w:color w:val="000000"/>
          <w:kern w:val="0"/>
          <w:lang w:val="it-IT" w:eastAsia="fr-FR"/>
          <w14:ligatures w14:val="none"/>
        </w:rPr>
        <w:t>CNCDH, Dichiarazione sul parere della CIJ sugli obblighi degli Stati in materia di cambiamenti climatici (D – 2025 - 7), Assemblea plenaria del 18 dicembre 2025.</w:t>
      </w:r>
    </w:p>
  </w:footnote>
  <w:footnote w:id="15">
    <w:p w14:paraId="61E61A9A" w14:textId="76A9D639" w:rsidR="008E11BF" w:rsidRPr="00FC27D3" w:rsidRDefault="008E11BF" w:rsidP="008E11BF">
      <w:pPr>
        <w:pStyle w:val="Notedebasdepage"/>
        <w:rPr>
          <w:rFonts w:ascii="Garamond" w:hAnsi="Garamond"/>
          <w:lang w:val="it-IT"/>
        </w:rPr>
      </w:pPr>
      <w:r w:rsidRPr="008E11BF">
        <w:rPr>
          <w:rStyle w:val="Appelnotedebasdep"/>
          <w:rFonts w:ascii="Garamond" w:hAnsi="Garamond"/>
        </w:rPr>
        <w:footnoteRef/>
      </w:r>
      <w:r w:rsidRPr="00FC27D3">
        <w:rPr>
          <w:rFonts w:ascii="Garamond" w:hAnsi="Garamond"/>
          <w:lang w:val="it-IT"/>
        </w:rPr>
        <w:t xml:space="preserve"> </w:t>
      </w:r>
      <w:r w:rsidR="00E2252F" w:rsidRPr="00E2252F">
        <w:rPr>
          <w:rFonts w:ascii="Garamond" w:eastAsia="Times New Roman" w:hAnsi="Garamond" w:cs="Times New Roman"/>
          <w:color w:val="000000"/>
          <w:kern w:val="0"/>
          <w:lang w:val="it-IT" w:eastAsia="fr-FR"/>
          <w14:ligatures w14:val="none"/>
        </w:rPr>
        <w:t>Commissione di Venezia del Consiglio d'Europa, Elenco (rivisto) dei criteri dello Stato di diritto – Commissione europea per la democrazia attraverso il diritto del Consiglio d'Europa (Commissione di Venezia) - CDL-AD (2025)002 - 2 - Parere n. 1210/2024, adottato durante la sua 145a sessione plenaria, 12-13 dicembre 2025</w:t>
      </w:r>
      <w:r w:rsidRPr="008E11BF">
        <w:rPr>
          <w:rFonts w:ascii="Garamond" w:eastAsia="Times New Roman" w:hAnsi="Garamond" w:cs="Times New Roman"/>
          <w:color w:val="000000"/>
          <w:kern w:val="0"/>
          <w:lang w:val="it-IT" w:eastAsia="fr-FR"/>
          <w14:ligatures w14:val="none"/>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405"/>
    <w:rsid w:val="00010A02"/>
    <w:rsid w:val="000B4870"/>
    <w:rsid w:val="001B425B"/>
    <w:rsid w:val="00254B90"/>
    <w:rsid w:val="00450631"/>
    <w:rsid w:val="004B5250"/>
    <w:rsid w:val="004C3E54"/>
    <w:rsid w:val="00636031"/>
    <w:rsid w:val="006D745F"/>
    <w:rsid w:val="007C7034"/>
    <w:rsid w:val="007D033B"/>
    <w:rsid w:val="007D2783"/>
    <w:rsid w:val="007F1664"/>
    <w:rsid w:val="008845A6"/>
    <w:rsid w:val="008C41B6"/>
    <w:rsid w:val="008E11BF"/>
    <w:rsid w:val="0092263D"/>
    <w:rsid w:val="009B7484"/>
    <w:rsid w:val="009F51D1"/>
    <w:rsid w:val="00BE5274"/>
    <w:rsid w:val="00C64330"/>
    <w:rsid w:val="00CB4FEF"/>
    <w:rsid w:val="00E2252F"/>
    <w:rsid w:val="00E5120E"/>
    <w:rsid w:val="00F57405"/>
    <w:rsid w:val="00FC27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C7040"/>
  <w15:chartTrackingRefBased/>
  <w15:docId w15:val="{5A0620DE-4D00-6E43-8FDF-F31AC4D68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574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F574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5740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5740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5740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5740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5740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5740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5740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5740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F5740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5740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5740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5740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5740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5740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5740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57405"/>
    <w:rPr>
      <w:rFonts w:eastAsiaTheme="majorEastAsia" w:cstheme="majorBidi"/>
      <w:color w:val="272727" w:themeColor="text1" w:themeTint="D8"/>
    </w:rPr>
  </w:style>
  <w:style w:type="paragraph" w:styleId="Titre">
    <w:name w:val="Title"/>
    <w:basedOn w:val="Normal"/>
    <w:next w:val="Normal"/>
    <w:link w:val="TitreCar"/>
    <w:uiPriority w:val="10"/>
    <w:qFormat/>
    <w:rsid w:val="00F574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5740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5740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5740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57405"/>
    <w:pPr>
      <w:spacing w:before="160"/>
      <w:jc w:val="center"/>
    </w:pPr>
    <w:rPr>
      <w:i/>
      <w:iCs/>
      <w:color w:val="404040" w:themeColor="text1" w:themeTint="BF"/>
    </w:rPr>
  </w:style>
  <w:style w:type="character" w:customStyle="1" w:styleId="CitationCar">
    <w:name w:val="Citation Car"/>
    <w:basedOn w:val="Policepardfaut"/>
    <w:link w:val="Citation"/>
    <w:uiPriority w:val="29"/>
    <w:rsid w:val="00F57405"/>
    <w:rPr>
      <w:i/>
      <w:iCs/>
      <w:color w:val="404040" w:themeColor="text1" w:themeTint="BF"/>
    </w:rPr>
  </w:style>
  <w:style w:type="paragraph" w:styleId="Paragraphedeliste">
    <w:name w:val="List Paragraph"/>
    <w:basedOn w:val="Normal"/>
    <w:uiPriority w:val="34"/>
    <w:qFormat/>
    <w:rsid w:val="00F57405"/>
    <w:pPr>
      <w:ind w:left="720"/>
      <w:contextualSpacing/>
    </w:pPr>
  </w:style>
  <w:style w:type="character" w:styleId="Accentuationintense">
    <w:name w:val="Intense Emphasis"/>
    <w:basedOn w:val="Policepardfaut"/>
    <w:uiPriority w:val="21"/>
    <w:qFormat/>
    <w:rsid w:val="00F57405"/>
    <w:rPr>
      <w:i/>
      <w:iCs/>
      <w:color w:val="0F4761" w:themeColor="accent1" w:themeShade="BF"/>
    </w:rPr>
  </w:style>
  <w:style w:type="paragraph" w:styleId="Citationintense">
    <w:name w:val="Intense Quote"/>
    <w:basedOn w:val="Normal"/>
    <w:next w:val="Normal"/>
    <w:link w:val="CitationintenseCar"/>
    <w:uiPriority w:val="30"/>
    <w:qFormat/>
    <w:rsid w:val="00F574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57405"/>
    <w:rPr>
      <w:i/>
      <w:iCs/>
      <w:color w:val="0F4761" w:themeColor="accent1" w:themeShade="BF"/>
    </w:rPr>
  </w:style>
  <w:style w:type="character" w:styleId="Rfrenceintense">
    <w:name w:val="Intense Reference"/>
    <w:basedOn w:val="Policepardfaut"/>
    <w:uiPriority w:val="32"/>
    <w:qFormat/>
    <w:rsid w:val="00F57405"/>
    <w:rPr>
      <w:b/>
      <w:bCs/>
      <w:smallCaps/>
      <w:color w:val="0F4761" w:themeColor="accent1" w:themeShade="BF"/>
      <w:spacing w:val="5"/>
    </w:rPr>
  </w:style>
  <w:style w:type="paragraph" w:styleId="NormalWeb">
    <w:name w:val="Normal (Web)"/>
    <w:basedOn w:val="Normal"/>
    <w:uiPriority w:val="99"/>
    <w:semiHidden/>
    <w:unhideWhenUsed/>
    <w:rsid w:val="00F57405"/>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customStyle="1" w:styleId="apple-converted-space">
    <w:name w:val="apple-converted-space"/>
    <w:basedOn w:val="Policepardfaut"/>
    <w:rsid w:val="00F57405"/>
  </w:style>
  <w:style w:type="character" w:styleId="Lienhypertexte">
    <w:name w:val="Hyperlink"/>
    <w:basedOn w:val="Policepardfaut"/>
    <w:uiPriority w:val="99"/>
    <w:semiHidden/>
    <w:unhideWhenUsed/>
    <w:rsid w:val="00F57405"/>
    <w:rPr>
      <w:color w:val="0000FF"/>
      <w:u w:val="single"/>
    </w:rPr>
  </w:style>
  <w:style w:type="paragraph" w:styleId="Notedebasdepage">
    <w:name w:val="footnote text"/>
    <w:basedOn w:val="Normal"/>
    <w:link w:val="NotedebasdepageCar"/>
    <w:uiPriority w:val="99"/>
    <w:semiHidden/>
    <w:unhideWhenUsed/>
    <w:rsid w:val="001B425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B425B"/>
    <w:rPr>
      <w:sz w:val="20"/>
      <w:szCs w:val="20"/>
    </w:rPr>
  </w:style>
  <w:style w:type="character" w:styleId="Appelnotedebasdep">
    <w:name w:val="footnote reference"/>
    <w:basedOn w:val="Policepardfaut"/>
    <w:uiPriority w:val="99"/>
    <w:semiHidden/>
    <w:unhideWhenUsed/>
    <w:rsid w:val="001B425B"/>
    <w:rPr>
      <w:vertAlign w:val="superscript"/>
    </w:rPr>
  </w:style>
  <w:style w:type="paragraph" w:styleId="En-tte">
    <w:name w:val="header"/>
    <w:basedOn w:val="Normal"/>
    <w:link w:val="En-tteCar"/>
    <w:uiPriority w:val="99"/>
    <w:unhideWhenUsed/>
    <w:rsid w:val="00BE5274"/>
    <w:pPr>
      <w:tabs>
        <w:tab w:val="center" w:pos="4536"/>
        <w:tab w:val="right" w:pos="9072"/>
      </w:tabs>
      <w:spacing w:after="0" w:line="240" w:lineRule="auto"/>
    </w:pPr>
  </w:style>
  <w:style w:type="character" w:customStyle="1" w:styleId="En-tteCar">
    <w:name w:val="En-tête Car"/>
    <w:basedOn w:val="Policepardfaut"/>
    <w:link w:val="En-tte"/>
    <w:uiPriority w:val="99"/>
    <w:rsid w:val="00BE5274"/>
  </w:style>
  <w:style w:type="paragraph" w:styleId="Pieddepage">
    <w:name w:val="footer"/>
    <w:basedOn w:val="Normal"/>
    <w:link w:val="PieddepageCar"/>
    <w:uiPriority w:val="99"/>
    <w:unhideWhenUsed/>
    <w:rsid w:val="00BE527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E52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2246</Words>
  <Characters>12359</Characters>
  <Application>Microsoft Office Word</Application>
  <DocSecurity>0</DocSecurity>
  <Lines>102</Lines>
  <Paragraphs>29</Paragraphs>
  <ScaleCrop>false</ScaleCrop>
  <HeadingPairs>
    <vt:vector size="4" baseType="variant">
      <vt:variant>
        <vt:lpstr>Titolo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TAWIL</dc:creator>
  <cp:keywords/>
  <dc:description/>
  <cp:lastModifiedBy>EMMANUEL  TAWIL</cp:lastModifiedBy>
  <cp:revision>2</cp:revision>
  <dcterms:created xsi:type="dcterms:W3CDTF">2026-02-02T18:51:00Z</dcterms:created>
  <dcterms:modified xsi:type="dcterms:W3CDTF">2026-02-02T18:51:00Z</dcterms:modified>
</cp:coreProperties>
</file>